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221EF">
      <w:pPr>
        <w:spacing w:line="480" w:lineRule="auto"/>
        <w:jc w:val="center"/>
        <w:rPr>
          <w:rFonts w:hint="eastAsia" w:ascii="宋体" w:hAnsi="宋体"/>
          <w:b/>
          <w:sz w:val="32"/>
          <w:szCs w:val="32"/>
        </w:rPr>
      </w:pPr>
    </w:p>
    <w:p w14:paraId="5BBFABC0">
      <w:pPr>
        <w:spacing w:line="480" w:lineRule="auto"/>
        <w:jc w:val="center"/>
        <w:rPr>
          <w:rFonts w:ascii="宋体" w:hAnsi="宋体"/>
          <w:b/>
          <w:sz w:val="32"/>
          <w:szCs w:val="32"/>
        </w:rPr>
      </w:pPr>
      <w:r>
        <w:rPr>
          <w:rFonts w:hint="eastAsia" w:ascii="宋体" w:hAnsi="宋体"/>
          <w:b/>
          <w:sz w:val="32"/>
          <w:szCs w:val="32"/>
        </w:rPr>
        <w:t>工程量清单编制说明</w:t>
      </w:r>
    </w:p>
    <w:p w14:paraId="761D9319">
      <w:pPr>
        <w:pStyle w:val="2"/>
        <w:keepLines w:val="0"/>
        <w:pageBreakBefore w:val="0"/>
        <w:numPr>
          <w:ilvl w:val="0"/>
          <w:numId w:val="0"/>
        </w:numPr>
        <w:kinsoku/>
        <w:wordWrap/>
        <w:overflowPunct/>
        <w:topLinePunct w:val="0"/>
        <w:bidi w:val="0"/>
        <w:snapToGrid/>
        <w:spacing w:before="0" w:after="0" w:line="360" w:lineRule="auto"/>
        <w:textAlignment w:val="auto"/>
        <w:rPr>
          <w:rFonts w:hint="eastAsia" w:ascii="宋体" w:hAnsi="宋体"/>
          <w:sz w:val="21"/>
          <w:szCs w:val="21"/>
        </w:rPr>
      </w:pPr>
    </w:p>
    <w:p w14:paraId="128F0CDF">
      <w:pPr>
        <w:pStyle w:val="2"/>
        <w:keepLines w:val="0"/>
        <w:pageBreakBefore w:val="0"/>
        <w:numPr>
          <w:ilvl w:val="0"/>
          <w:numId w:val="0"/>
        </w:numPr>
        <w:kinsoku/>
        <w:wordWrap/>
        <w:overflowPunct/>
        <w:topLinePunct w:val="0"/>
        <w:bidi w:val="0"/>
        <w:snapToGrid/>
        <w:spacing w:before="0" w:after="0" w:line="360" w:lineRule="auto"/>
        <w:textAlignment w:val="auto"/>
        <w:rPr>
          <w:rFonts w:ascii="宋体" w:hAnsi="宋体"/>
          <w:sz w:val="21"/>
          <w:szCs w:val="21"/>
        </w:rPr>
      </w:pPr>
      <w:r>
        <w:rPr>
          <w:rFonts w:hint="eastAsia" w:ascii="宋体" w:hAnsi="宋体"/>
          <w:sz w:val="21"/>
          <w:szCs w:val="21"/>
        </w:rPr>
        <w:t>一、工程概况</w:t>
      </w:r>
    </w:p>
    <w:p w14:paraId="4A6AFA84">
      <w:pPr>
        <w:pStyle w:val="60"/>
        <w:keepLines w:val="0"/>
        <w:pageBreakBefore w:val="0"/>
        <w:kinsoku/>
        <w:wordWrap/>
        <w:overflowPunct/>
        <w:topLinePunct w:val="0"/>
        <w:bidi w:val="0"/>
        <w:snapToGrid/>
        <w:spacing w:line="360" w:lineRule="auto"/>
        <w:ind w:firstLine="525" w:firstLineChars="250"/>
        <w:textAlignment w:val="auto"/>
        <w:rPr>
          <w:rFonts w:hAnsi="宋体" w:cs="Times New Roman"/>
          <w:kern w:val="2"/>
          <w:sz w:val="21"/>
          <w:szCs w:val="21"/>
        </w:rPr>
      </w:pPr>
      <w:bookmarkStart w:id="0" w:name="_Toc262170258"/>
      <w:r>
        <w:rPr>
          <w:rFonts w:hint="eastAsia" w:hAnsi="宋体" w:cs="Times New Roman"/>
          <w:kern w:val="2"/>
          <w:sz w:val="21"/>
          <w:szCs w:val="21"/>
        </w:rPr>
        <w:t>见招标文件。</w:t>
      </w:r>
    </w:p>
    <w:bookmarkEnd w:id="0"/>
    <w:p w14:paraId="0C7652BC">
      <w:pPr>
        <w:pStyle w:val="2"/>
        <w:keepLines w:val="0"/>
        <w:pageBreakBefore w:val="0"/>
        <w:numPr>
          <w:ilvl w:val="0"/>
          <w:numId w:val="0"/>
        </w:numPr>
        <w:kinsoku/>
        <w:wordWrap/>
        <w:overflowPunct/>
        <w:topLinePunct w:val="0"/>
        <w:bidi w:val="0"/>
        <w:snapToGrid/>
        <w:spacing w:before="0" w:after="0" w:line="360" w:lineRule="auto"/>
        <w:textAlignment w:val="auto"/>
        <w:rPr>
          <w:rFonts w:hint="eastAsia" w:ascii="宋体" w:hAnsi="宋体" w:cs="Times New Roman"/>
          <w:sz w:val="21"/>
          <w:szCs w:val="21"/>
        </w:rPr>
      </w:pPr>
      <w:r>
        <w:rPr>
          <w:rFonts w:hint="eastAsia" w:ascii="宋体" w:hAnsi="宋体" w:cs="Times New Roman"/>
          <w:sz w:val="21"/>
          <w:szCs w:val="21"/>
        </w:rPr>
        <w:t>二、招标范围</w:t>
      </w:r>
    </w:p>
    <w:p w14:paraId="09E4FBA1">
      <w:pPr>
        <w:pStyle w:val="60"/>
        <w:keepLines w:val="0"/>
        <w:pageBreakBefore w:val="0"/>
        <w:kinsoku/>
        <w:wordWrap/>
        <w:overflowPunct/>
        <w:topLinePunct w:val="0"/>
        <w:bidi w:val="0"/>
        <w:snapToGrid/>
        <w:spacing w:line="360" w:lineRule="auto"/>
        <w:ind w:firstLine="525" w:firstLineChars="250"/>
        <w:textAlignment w:val="auto"/>
        <w:rPr>
          <w:rFonts w:hAnsi="宋体" w:cs="Times New Roman"/>
          <w:kern w:val="2"/>
          <w:sz w:val="21"/>
          <w:szCs w:val="21"/>
        </w:rPr>
      </w:pPr>
      <w:r>
        <w:rPr>
          <w:rFonts w:hint="eastAsia" w:hAnsi="宋体" w:cs="Times New Roman"/>
          <w:kern w:val="2"/>
          <w:sz w:val="21"/>
          <w:szCs w:val="21"/>
        </w:rPr>
        <w:t>见招标文件。</w:t>
      </w:r>
    </w:p>
    <w:p w14:paraId="6216A6B1">
      <w:pPr>
        <w:pStyle w:val="2"/>
        <w:keepLines w:val="0"/>
        <w:pageBreakBefore w:val="0"/>
        <w:numPr>
          <w:ilvl w:val="0"/>
          <w:numId w:val="0"/>
        </w:numPr>
        <w:kinsoku/>
        <w:wordWrap/>
        <w:overflowPunct/>
        <w:topLinePunct w:val="0"/>
        <w:bidi w:val="0"/>
        <w:snapToGrid/>
        <w:spacing w:before="0" w:after="0" w:line="360" w:lineRule="auto"/>
        <w:textAlignment w:val="auto"/>
        <w:rPr>
          <w:rFonts w:hint="eastAsia" w:ascii="宋体" w:hAnsi="宋体" w:cs="Times New Roman"/>
          <w:sz w:val="21"/>
          <w:szCs w:val="21"/>
        </w:rPr>
      </w:pPr>
      <w:r>
        <w:rPr>
          <w:rFonts w:hint="eastAsia" w:ascii="宋体" w:hAnsi="宋体" w:cs="Times New Roman"/>
          <w:sz w:val="21"/>
          <w:szCs w:val="21"/>
        </w:rPr>
        <w:t>三、编制依据</w:t>
      </w:r>
    </w:p>
    <w:p w14:paraId="5E9F5BAF">
      <w:pPr>
        <w:pStyle w:val="77"/>
        <w:keepLines w:val="0"/>
        <w:pageBreakBefore w:val="0"/>
        <w:numPr>
          <w:ilvl w:val="0"/>
          <w:numId w:val="2"/>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olor w:val="auto"/>
          <w:sz w:val="21"/>
          <w:szCs w:val="21"/>
        </w:rPr>
      </w:pPr>
      <w:r>
        <w:rPr>
          <w:rFonts w:hint="eastAsia" w:ascii="宋体" w:hAnsi="宋体"/>
          <w:color w:val="auto"/>
          <w:sz w:val="21"/>
          <w:szCs w:val="21"/>
        </w:rPr>
        <w:t>《建设工程工程量清单计价</w:t>
      </w:r>
      <w:r>
        <w:rPr>
          <w:rFonts w:hint="eastAsia" w:ascii="宋体" w:hAnsi="宋体"/>
          <w:color w:val="auto"/>
          <w:sz w:val="21"/>
          <w:szCs w:val="21"/>
          <w:lang w:val="en-US" w:eastAsia="zh-CN"/>
        </w:rPr>
        <w:t>标准</w:t>
      </w:r>
      <w:r>
        <w:rPr>
          <w:rFonts w:hint="eastAsia" w:ascii="宋体" w:hAnsi="宋体"/>
          <w:color w:val="auto"/>
          <w:sz w:val="21"/>
          <w:szCs w:val="21"/>
        </w:rPr>
        <w:t>》（GB/T</w:t>
      </w:r>
      <w:r>
        <w:rPr>
          <w:rFonts w:hint="eastAsia" w:ascii="宋体" w:hAnsi="宋体"/>
          <w:color w:val="auto"/>
          <w:sz w:val="21"/>
          <w:szCs w:val="21"/>
          <w:lang w:val="en-US" w:eastAsia="zh-CN"/>
        </w:rPr>
        <w:t xml:space="preserve"> </w:t>
      </w:r>
      <w:r>
        <w:rPr>
          <w:rFonts w:hint="eastAsia" w:ascii="宋体" w:hAnsi="宋体"/>
          <w:color w:val="auto"/>
          <w:sz w:val="21"/>
          <w:szCs w:val="21"/>
        </w:rPr>
        <w:t>50500-20</w:t>
      </w:r>
      <w:r>
        <w:rPr>
          <w:rFonts w:hint="eastAsia" w:ascii="宋体" w:hAnsi="宋体"/>
          <w:color w:val="auto"/>
          <w:sz w:val="21"/>
          <w:szCs w:val="21"/>
          <w:lang w:val="en-US" w:eastAsia="zh-CN"/>
        </w:rPr>
        <w:t>24</w:t>
      </w:r>
      <w:r>
        <w:rPr>
          <w:rFonts w:hint="eastAsia" w:ascii="宋体" w:hAnsi="宋体"/>
          <w:color w:val="auto"/>
          <w:sz w:val="21"/>
          <w:szCs w:val="21"/>
        </w:rPr>
        <w:t>）</w:t>
      </w:r>
      <w:r>
        <w:rPr>
          <w:rFonts w:hint="eastAsia" w:ascii="宋体" w:hAnsi="宋体"/>
          <w:color w:val="auto"/>
          <w:sz w:val="21"/>
          <w:szCs w:val="21"/>
          <w:lang w:eastAsia="zh-CN"/>
        </w:rPr>
        <w:t>。</w:t>
      </w:r>
    </w:p>
    <w:p w14:paraId="43D98284">
      <w:pPr>
        <w:pStyle w:val="77"/>
        <w:keepLines w:val="0"/>
        <w:pageBreakBefore w:val="0"/>
        <w:numPr>
          <w:ilvl w:val="0"/>
          <w:numId w:val="2"/>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color w:val="auto"/>
          <w:sz w:val="21"/>
          <w:szCs w:val="21"/>
          <w:lang w:val="en-US" w:eastAsia="zh-CN"/>
        </w:rPr>
      </w:pPr>
      <w:r>
        <w:rPr>
          <w:rFonts w:hint="eastAsia" w:ascii="宋体" w:hAnsi="宋体"/>
          <w:color w:val="auto"/>
          <w:sz w:val="21"/>
          <w:szCs w:val="21"/>
        </w:rPr>
        <w:t>《房屋建筑与装饰工程工程量计算</w:t>
      </w:r>
      <w:r>
        <w:rPr>
          <w:rFonts w:hint="eastAsia" w:ascii="宋体" w:hAnsi="宋体"/>
          <w:color w:val="auto"/>
          <w:sz w:val="21"/>
          <w:szCs w:val="21"/>
          <w:lang w:val="en-US" w:eastAsia="zh-CN"/>
        </w:rPr>
        <w:t>标准</w:t>
      </w:r>
      <w:r>
        <w:rPr>
          <w:rFonts w:hint="eastAsia" w:ascii="宋体" w:hAnsi="宋体"/>
          <w:color w:val="auto"/>
          <w:sz w:val="21"/>
          <w:szCs w:val="21"/>
        </w:rPr>
        <w:t>》（GB/T</w:t>
      </w:r>
      <w:r>
        <w:rPr>
          <w:rFonts w:hint="eastAsia" w:ascii="宋体" w:hAnsi="宋体"/>
          <w:color w:val="auto"/>
          <w:sz w:val="21"/>
          <w:szCs w:val="21"/>
          <w:lang w:val="en-US" w:eastAsia="zh-CN"/>
        </w:rPr>
        <w:t xml:space="preserve"> </w:t>
      </w:r>
      <w:r>
        <w:rPr>
          <w:rFonts w:hint="eastAsia" w:ascii="宋体" w:hAnsi="宋体"/>
          <w:color w:val="auto"/>
          <w:sz w:val="21"/>
          <w:szCs w:val="21"/>
        </w:rPr>
        <w:t>50854-20</w:t>
      </w:r>
      <w:r>
        <w:rPr>
          <w:rFonts w:hint="eastAsia" w:ascii="宋体" w:hAnsi="宋体"/>
          <w:color w:val="auto"/>
          <w:sz w:val="21"/>
          <w:szCs w:val="21"/>
          <w:lang w:val="en-US" w:eastAsia="zh-CN"/>
        </w:rPr>
        <w:t>24</w:t>
      </w:r>
      <w:r>
        <w:rPr>
          <w:rFonts w:hint="eastAsia" w:ascii="宋体" w:hAnsi="宋体"/>
          <w:color w:val="auto"/>
          <w:sz w:val="21"/>
          <w:szCs w:val="21"/>
        </w:rPr>
        <w:t>）、《</w:t>
      </w:r>
      <w:r>
        <w:rPr>
          <w:rFonts w:hint="eastAsia" w:ascii="宋体" w:hAnsi="宋体"/>
          <w:color w:val="auto"/>
          <w:sz w:val="21"/>
          <w:szCs w:val="21"/>
          <w:lang w:val="en-US" w:eastAsia="zh-CN"/>
        </w:rPr>
        <w:t>通用安装</w:t>
      </w:r>
      <w:r>
        <w:rPr>
          <w:rFonts w:hint="eastAsia" w:ascii="宋体" w:hAnsi="宋体"/>
          <w:color w:val="auto"/>
          <w:sz w:val="21"/>
          <w:szCs w:val="21"/>
        </w:rPr>
        <w:t>工程工程量</w:t>
      </w:r>
      <w:r>
        <w:rPr>
          <w:rFonts w:hint="eastAsia" w:ascii="宋体" w:hAnsi="宋体"/>
          <w:color w:val="auto"/>
          <w:sz w:val="21"/>
          <w:szCs w:val="21"/>
          <w:lang w:eastAsia="zh-CN"/>
        </w:rPr>
        <w:t>计算标准</w:t>
      </w:r>
      <w:r>
        <w:rPr>
          <w:rFonts w:hint="eastAsia" w:ascii="宋体" w:hAnsi="宋体"/>
          <w:color w:val="auto"/>
          <w:sz w:val="21"/>
          <w:szCs w:val="21"/>
        </w:rPr>
        <w:t>》（GB/T</w:t>
      </w:r>
      <w:r>
        <w:rPr>
          <w:rFonts w:hint="eastAsia" w:ascii="宋体" w:hAnsi="宋体"/>
          <w:color w:val="auto"/>
          <w:sz w:val="21"/>
          <w:szCs w:val="21"/>
          <w:lang w:val="en-US" w:eastAsia="zh-CN"/>
        </w:rPr>
        <w:t xml:space="preserve"> </w:t>
      </w:r>
      <w:r>
        <w:rPr>
          <w:rFonts w:hint="eastAsia" w:ascii="宋体" w:hAnsi="宋体"/>
          <w:color w:val="auto"/>
          <w:sz w:val="21"/>
          <w:szCs w:val="21"/>
        </w:rPr>
        <w:t>5085</w:t>
      </w:r>
      <w:r>
        <w:rPr>
          <w:rFonts w:hint="eastAsia" w:ascii="宋体" w:hAnsi="宋体"/>
          <w:color w:val="auto"/>
          <w:sz w:val="21"/>
          <w:szCs w:val="21"/>
          <w:lang w:val="en-US" w:eastAsia="zh-CN"/>
        </w:rPr>
        <w:t>6</w:t>
      </w:r>
      <w:r>
        <w:rPr>
          <w:rFonts w:hint="eastAsia" w:ascii="宋体" w:hAnsi="宋体"/>
          <w:color w:val="auto"/>
          <w:sz w:val="21"/>
          <w:szCs w:val="21"/>
        </w:rPr>
        <w:t>-20</w:t>
      </w:r>
      <w:r>
        <w:rPr>
          <w:rFonts w:hint="eastAsia" w:ascii="宋体" w:hAnsi="宋体"/>
          <w:color w:val="auto"/>
          <w:sz w:val="21"/>
          <w:szCs w:val="21"/>
          <w:lang w:val="en-US" w:eastAsia="zh-CN"/>
        </w:rPr>
        <w:t>24</w:t>
      </w:r>
      <w:r>
        <w:rPr>
          <w:rFonts w:hint="eastAsia" w:ascii="宋体" w:hAnsi="宋体"/>
          <w:color w:val="auto"/>
          <w:sz w:val="21"/>
          <w:szCs w:val="21"/>
        </w:rPr>
        <w:t>）</w:t>
      </w:r>
      <w:r>
        <w:rPr>
          <w:rFonts w:hint="eastAsia" w:ascii="宋体" w:hAnsi="宋体"/>
          <w:color w:val="auto"/>
          <w:sz w:val="21"/>
          <w:szCs w:val="21"/>
          <w:lang w:eastAsia="zh-CN"/>
        </w:rPr>
        <w:t>、</w:t>
      </w:r>
      <w:r>
        <w:rPr>
          <w:rFonts w:hint="eastAsia" w:ascii="宋体" w:hAnsi="宋体"/>
          <w:color w:val="auto"/>
          <w:sz w:val="21"/>
          <w:szCs w:val="21"/>
        </w:rPr>
        <w:t>《</w:t>
      </w:r>
      <w:r>
        <w:rPr>
          <w:rFonts w:hint="eastAsia" w:ascii="宋体" w:hAnsi="宋体"/>
          <w:color w:val="auto"/>
          <w:sz w:val="21"/>
          <w:szCs w:val="21"/>
          <w:lang w:val="en-US" w:eastAsia="zh-CN"/>
        </w:rPr>
        <w:t>构筑物</w:t>
      </w:r>
      <w:r>
        <w:rPr>
          <w:rFonts w:hint="eastAsia" w:ascii="宋体" w:hAnsi="宋体"/>
          <w:color w:val="auto"/>
          <w:sz w:val="21"/>
          <w:szCs w:val="21"/>
        </w:rPr>
        <w:t>工程工程量</w:t>
      </w:r>
      <w:r>
        <w:rPr>
          <w:rFonts w:hint="eastAsia" w:ascii="宋体" w:hAnsi="宋体"/>
          <w:color w:val="auto"/>
          <w:sz w:val="21"/>
          <w:szCs w:val="21"/>
          <w:lang w:eastAsia="zh-CN"/>
        </w:rPr>
        <w:t>计算标准</w:t>
      </w:r>
      <w:r>
        <w:rPr>
          <w:rFonts w:hint="eastAsia" w:ascii="宋体" w:hAnsi="宋体"/>
          <w:color w:val="auto"/>
          <w:sz w:val="21"/>
          <w:szCs w:val="21"/>
        </w:rPr>
        <w:t>》（GB/T</w:t>
      </w:r>
      <w:r>
        <w:rPr>
          <w:rFonts w:hint="eastAsia" w:ascii="宋体" w:hAnsi="宋体"/>
          <w:color w:val="auto"/>
          <w:sz w:val="21"/>
          <w:szCs w:val="21"/>
          <w:lang w:val="en-US" w:eastAsia="zh-CN"/>
        </w:rPr>
        <w:t xml:space="preserve"> </w:t>
      </w:r>
      <w:r>
        <w:rPr>
          <w:rFonts w:hint="eastAsia" w:ascii="宋体" w:hAnsi="宋体"/>
          <w:color w:val="auto"/>
          <w:sz w:val="21"/>
          <w:szCs w:val="21"/>
        </w:rPr>
        <w:t>508</w:t>
      </w:r>
      <w:r>
        <w:rPr>
          <w:rFonts w:hint="eastAsia" w:ascii="宋体" w:hAnsi="宋体"/>
          <w:color w:val="auto"/>
          <w:sz w:val="21"/>
          <w:szCs w:val="21"/>
          <w:lang w:val="en-US" w:eastAsia="zh-CN"/>
        </w:rPr>
        <w:t>60</w:t>
      </w:r>
      <w:r>
        <w:rPr>
          <w:rFonts w:hint="eastAsia" w:ascii="宋体" w:hAnsi="宋体"/>
          <w:color w:val="auto"/>
          <w:sz w:val="21"/>
          <w:szCs w:val="21"/>
        </w:rPr>
        <w:t>-20</w:t>
      </w:r>
      <w:r>
        <w:rPr>
          <w:rFonts w:hint="eastAsia" w:ascii="宋体" w:hAnsi="宋体"/>
          <w:color w:val="auto"/>
          <w:sz w:val="21"/>
          <w:szCs w:val="21"/>
          <w:lang w:val="en-US" w:eastAsia="zh-CN"/>
        </w:rPr>
        <w:t>24</w:t>
      </w:r>
      <w:r>
        <w:rPr>
          <w:rFonts w:hint="eastAsia" w:ascii="宋体" w:hAnsi="宋体"/>
          <w:color w:val="auto"/>
          <w:sz w:val="21"/>
          <w:szCs w:val="21"/>
        </w:rPr>
        <w:t>）</w:t>
      </w:r>
      <w:r>
        <w:rPr>
          <w:rFonts w:hint="eastAsia" w:ascii="宋体" w:hAnsi="宋体"/>
          <w:color w:val="auto"/>
          <w:sz w:val="21"/>
          <w:szCs w:val="21"/>
          <w:lang w:eastAsia="zh-CN"/>
        </w:rPr>
        <w:t>，</w:t>
      </w:r>
      <w:r>
        <w:rPr>
          <w:rFonts w:hint="eastAsia" w:ascii="宋体" w:hAnsi="宋体"/>
          <w:color w:val="auto"/>
          <w:sz w:val="21"/>
          <w:szCs w:val="21"/>
        </w:rPr>
        <w:t>广东省住房和城乡建设厅</w:t>
      </w:r>
      <w:r>
        <w:rPr>
          <w:rFonts w:hint="eastAsia" w:ascii="宋体" w:hAnsi="宋体"/>
          <w:color w:val="auto"/>
          <w:sz w:val="21"/>
          <w:szCs w:val="21"/>
          <w:lang w:eastAsia="zh-CN"/>
        </w:rPr>
        <w:t>《</w:t>
      </w:r>
      <w:r>
        <w:rPr>
          <w:rFonts w:hint="eastAsia" w:ascii="宋体" w:hAnsi="宋体"/>
          <w:color w:val="auto"/>
          <w:sz w:val="21"/>
          <w:szCs w:val="21"/>
        </w:rPr>
        <w:t>关于贯彻实施</w:t>
      </w:r>
      <w:r>
        <w:rPr>
          <w:rFonts w:hint="eastAsia" w:ascii="宋体" w:hAnsi="宋体"/>
          <w:color w:val="auto"/>
          <w:sz w:val="21"/>
          <w:szCs w:val="21"/>
          <w:lang w:val="en-US" w:eastAsia="zh-CN"/>
        </w:rPr>
        <w:t>〈</w:t>
      </w:r>
      <w:r>
        <w:rPr>
          <w:rFonts w:hint="eastAsia" w:ascii="宋体" w:hAnsi="宋体"/>
          <w:color w:val="auto"/>
          <w:sz w:val="21"/>
          <w:szCs w:val="21"/>
        </w:rPr>
        <w:t>建设工程工程量清单计价标准</w:t>
      </w:r>
      <w:r>
        <w:rPr>
          <w:rFonts w:hint="eastAsia" w:ascii="宋体" w:hAnsi="宋体"/>
          <w:color w:val="auto"/>
          <w:sz w:val="21"/>
          <w:szCs w:val="21"/>
          <w:lang w:val="en-US" w:eastAsia="zh-CN"/>
        </w:rPr>
        <w:t>〉</w:t>
      </w:r>
      <w:r>
        <w:rPr>
          <w:rFonts w:hint="eastAsia" w:ascii="宋体" w:hAnsi="宋体"/>
          <w:color w:val="auto"/>
          <w:sz w:val="21"/>
          <w:szCs w:val="21"/>
        </w:rPr>
        <w:t>及九项专业工程工程量计算标准的通知</w:t>
      </w:r>
      <w:bookmarkStart w:id="1" w:name="OLE_LINK1"/>
      <w:r>
        <w:rPr>
          <w:rFonts w:hint="eastAsia" w:ascii="宋体" w:hAnsi="宋体"/>
          <w:color w:val="auto"/>
          <w:sz w:val="21"/>
          <w:szCs w:val="21"/>
          <w:lang w:eastAsia="zh-CN"/>
        </w:rPr>
        <w:t>》</w:t>
      </w:r>
      <w:bookmarkEnd w:id="1"/>
      <w:r>
        <w:rPr>
          <w:rFonts w:hint="eastAsia" w:ascii="宋体" w:hAnsi="宋体"/>
          <w:color w:val="auto"/>
          <w:sz w:val="21"/>
          <w:szCs w:val="21"/>
          <w:lang w:eastAsia="zh-CN"/>
        </w:rPr>
        <w:t>（</w:t>
      </w:r>
      <w:r>
        <w:rPr>
          <w:rFonts w:hint="eastAsia" w:ascii="宋体" w:hAnsi="宋体"/>
          <w:color w:val="auto"/>
          <w:sz w:val="21"/>
          <w:szCs w:val="21"/>
        </w:rPr>
        <w:t>粤建市〔2025〕196号</w:t>
      </w:r>
      <w:r>
        <w:rPr>
          <w:rFonts w:hint="eastAsia" w:ascii="宋体" w:hAnsi="宋体"/>
          <w:color w:val="auto"/>
          <w:sz w:val="21"/>
          <w:szCs w:val="21"/>
          <w:lang w:eastAsia="zh-CN"/>
        </w:rPr>
        <w:t>），</w:t>
      </w:r>
      <w:r>
        <w:rPr>
          <w:rFonts w:hint="eastAsia" w:ascii="宋体" w:hAnsi="宋体"/>
          <w:color w:val="auto"/>
          <w:sz w:val="21"/>
          <w:szCs w:val="21"/>
        </w:rPr>
        <w:t>广东省建设工程标准定额站</w:t>
      </w:r>
      <w:r>
        <w:rPr>
          <w:rFonts w:hint="eastAsia" w:ascii="宋体" w:hAnsi="宋体"/>
          <w:color w:val="auto"/>
          <w:sz w:val="21"/>
          <w:szCs w:val="21"/>
          <w:lang w:eastAsia="zh-CN"/>
        </w:rPr>
        <w:t>《关于调整</w:t>
      </w:r>
      <w:r>
        <w:rPr>
          <w:rFonts w:hint="eastAsia" w:ascii="宋体" w:hAnsi="宋体"/>
          <w:color w:val="auto"/>
          <w:sz w:val="21"/>
          <w:szCs w:val="21"/>
          <w:lang w:val="en-US" w:eastAsia="zh-CN"/>
        </w:rPr>
        <w:t>〈</w:t>
      </w:r>
      <w:r>
        <w:rPr>
          <w:rFonts w:hint="eastAsia" w:ascii="宋体" w:hAnsi="宋体"/>
          <w:color w:val="auto"/>
          <w:sz w:val="21"/>
          <w:szCs w:val="21"/>
          <w:lang w:eastAsia="zh-CN"/>
        </w:rPr>
        <w:t>广东省建设工程计价依据2018</w:t>
      </w:r>
      <w:r>
        <w:rPr>
          <w:rFonts w:hint="eastAsia" w:ascii="宋体" w:hAnsi="宋体"/>
          <w:color w:val="auto"/>
          <w:sz w:val="21"/>
          <w:szCs w:val="21"/>
          <w:lang w:val="en-US" w:eastAsia="zh-CN"/>
        </w:rPr>
        <w:t>〉</w:t>
      </w:r>
      <w:r>
        <w:rPr>
          <w:rFonts w:hint="eastAsia" w:ascii="宋体" w:hAnsi="宋体"/>
          <w:color w:val="auto"/>
          <w:sz w:val="21"/>
          <w:szCs w:val="21"/>
          <w:lang w:eastAsia="zh-CN"/>
        </w:rPr>
        <w:t>计价规则的通知》</w:t>
      </w:r>
      <w:bookmarkStart w:id="2" w:name="OLE_LINK3"/>
      <w:r>
        <w:rPr>
          <w:rFonts w:hint="eastAsia" w:ascii="宋体" w:hAnsi="宋体"/>
          <w:color w:val="auto"/>
          <w:sz w:val="21"/>
          <w:szCs w:val="21"/>
          <w:lang w:eastAsia="zh-CN"/>
        </w:rPr>
        <w:t>（粤标定函〔2025〕22号）</w:t>
      </w:r>
      <w:bookmarkEnd w:id="2"/>
      <w:r>
        <w:rPr>
          <w:rFonts w:hint="eastAsia" w:ascii="宋体" w:hAnsi="宋体"/>
          <w:color w:val="auto"/>
          <w:sz w:val="21"/>
          <w:szCs w:val="21"/>
          <w:lang w:eastAsia="zh-CN"/>
        </w:rPr>
        <w:t>、《</w:t>
      </w:r>
      <w:r>
        <w:rPr>
          <w:rFonts w:hint="eastAsia" w:ascii="宋体" w:hAnsi="宋体"/>
          <w:color w:val="auto"/>
          <w:sz w:val="21"/>
          <w:szCs w:val="21"/>
        </w:rPr>
        <w:t>关于贯彻执行</w:t>
      </w:r>
      <w:r>
        <w:rPr>
          <w:rFonts w:hint="eastAsia" w:ascii="宋体" w:hAnsi="宋体"/>
          <w:color w:val="auto"/>
          <w:sz w:val="21"/>
          <w:szCs w:val="21"/>
          <w:lang w:val="en-US" w:eastAsia="zh-CN"/>
        </w:rPr>
        <w:t>〈</w:t>
      </w:r>
      <w:r>
        <w:rPr>
          <w:rFonts w:hint="eastAsia" w:ascii="宋体" w:hAnsi="宋体"/>
          <w:color w:val="auto"/>
          <w:sz w:val="21"/>
          <w:szCs w:val="21"/>
        </w:rPr>
        <w:t>建设工程工程量清单计价标准</w:t>
      </w:r>
      <w:r>
        <w:rPr>
          <w:rFonts w:hint="eastAsia" w:ascii="宋体" w:hAnsi="宋体"/>
          <w:color w:val="auto"/>
          <w:sz w:val="21"/>
          <w:szCs w:val="21"/>
          <w:lang w:val="en-US" w:eastAsia="zh-CN"/>
        </w:rPr>
        <w:t>〉</w:t>
      </w:r>
      <w:r>
        <w:rPr>
          <w:rFonts w:hint="eastAsia" w:ascii="宋体" w:hAnsi="宋体"/>
          <w:color w:val="auto"/>
          <w:sz w:val="21"/>
          <w:szCs w:val="21"/>
        </w:rPr>
        <w:t>及九项专业工程工程量计算标准的实施意见</w:t>
      </w:r>
      <w:r>
        <w:rPr>
          <w:rFonts w:hint="eastAsia" w:ascii="宋体" w:hAnsi="宋体"/>
          <w:color w:val="auto"/>
          <w:sz w:val="21"/>
          <w:szCs w:val="21"/>
          <w:lang w:eastAsia="zh-CN"/>
        </w:rPr>
        <w:t>》（粤标定函〔2025〕24号），</w:t>
      </w:r>
      <w:r>
        <w:rPr>
          <w:rFonts w:hint="eastAsia" w:ascii="宋体" w:hAnsi="宋体"/>
          <w:color w:val="auto"/>
          <w:sz w:val="21"/>
          <w:szCs w:val="21"/>
          <w:lang w:val="en-US" w:eastAsia="zh-CN"/>
        </w:rPr>
        <w:t>广州市建设工程造价管理站关于转发《关于贯彻执行</w:t>
      </w:r>
      <w:bookmarkStart w:id="3" w:name="OLE_LINK2"/>
      <w:r>
        <w:rPr>
          <w:rFonts w:hint="eastAsia" w:ascii="宋体" w:hAnsi="宋体"/>
          <w:color w:val="auto"/>
          <w:sz w:val="21"/>
          <w:szCs w:val="21"/>
          <w:lang w:val="en-US" w:eastAsia="zh-CN"/>
        </w:rPr>
        <w:t>〈</w:t>
      </w:r>
      <w:bookmarkEnd w:id="3"/>
      <w:r>
        <w:rPr>
          <w:rFonts w:hint="eastAsia" w:ascii="宋体" w:hAnsi="宋体"/>
          <w:color w:val="auto"/>
          <w:sz w:val="21"/>
          <w:szCs w:val="21"/>
          <w:lang w:val="en-US" w:eastAsia="zh-CN"/>
        </w:rPr>
        <w:t>建设工程工程量清单计价标准〉及九项专业工程工程量计算标准的实施意见》的通知</w:t>
      </w:r>
      <w:r>
        <w:rPr>
          <w:rFonts w:hint="eastAsia" w:ascii="宋体" w:hAnsi="宋体"/>
          <w:color w:val="auto"/>
          <w:sz w:val="21"/>
          <w:szCs w:val="21"/>
          <w:lang w:eastAsia="zh-CN"/>
        </w:rPr>
        <w:t>（</w:t>
      </w:r>
      <w:r>
        <w:rPr>
          <w:rFonts w:hint="eastAsia" w:ascii="宋体" w:hAnsi="宋体"/>
          <w:color w:val="auto"/>
          <w:sz w:val="21"/>
          <w:szCs w:val="21"/>
          <w:lang w:val="en-US" w:eastAsia="zh-CN"/>
        </w:rPr>
        <w:t>穗建造价</w:t>
      </w:r>
      <w:r>
        <w:rPr>
          <w:rFonts w:hint="eastAsia" w:ascii="宋体" w:hAnsi="宋体"/>
          <w:color w:val="auto"/>
          <w:sz w:val="21"/>
          <w:szCs w:val="21"/>
          <w:lang w:eastAsia="zh-CN"/>
        </w:rPr>
        <w:t>〔2025〕</w:t>
      </w:r>
      <w:r>
        <w:rPr>
          <w:rFonts w:hint="eastAsia" w:ascii="宋体" w:hAnsi="宋体"/>
          <w:color w:val="auto"/>
          <w:sz w:val="21"/>
          <w:szCs w:val="21"/>
          <w:lang w:val="en-US" w:eastAsia="zh-CN"/>
        </w:rPr>
        <w:t>116</w:t>
      </w:r>
      <w:r>
        <w:rPr>
          <w:rFonts w:hint="eastAsia" w:ascii="宋体" w:hAnsi="宋体"/>
          <w:color w:val="auto"/>
          <w:sz w:val="21"/>
          <w:szCs w:val="21"/>
          <w:lang w:eastAsia="zh-CN"/>
        </w:rPr>
        <w:t>号）。</w:t>
      </w:r>
    </w:p>
    <w:p w14:paraId="35D46D48">
      <w:pPr>
        <w:pStyle w:val="77"/>
        <w:keepLines w:val="0"/>
        <w:pageBreakBefore w:val="0"/>
        <w:numPr>
          <w:ilvl w:val="0"/>
          <w:numId w:val="2"/>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rPr>
      </w:pPr>
      <w:r>
        <w:rPr>
          <w:rFonts w:hint="eastAsia" w:ascii="宋体" w:hAnsi="宋体"/>
          <w:color w:val="auto"/>
          <w:sz w:val="21"/>
          <w:szCs w:val="21"/>
        </w:rPr>
        <w:t>《广东省建设工程计价依据（2018</w:t>
      </w:r>
      <w:r>
        <w:rPr>
          <w:rFonts w:ascii="宋体" w:hAnsi="宋体"/>
          <w:color w:val="auto"/>
          <w:sz w:val="21"/>
          <w:szCs w:val="21"/>
        </w:rPr>
        <w:t>）</w:t>
      </w:r>
      <w:r>
        <w:rPr>
          <w:rFonts w:hint="eastAsia" w:ascii="宋体" w:hAnsi="宋体"/>
          <w:color w:val="auto"/>
          <w:sz w:val="21"/>
          <w:szCs w:val="21"/>
        </w:rPr>
        <w:t>》，包括《广东省房屋建筑与装饰工程综合定额（2018）》</w:t>
      </w:r>
      <w:r>
        <w:rPr>
          <w:rFonts w:hint="eastAsia" w:ascii="宋体" w:hAnsi="宋体"/>
          <w:color w:val="auto"/>
          <w:sz w:val="21"/>
          <w:szCs w:val="21"/>
          <w:lang w:eastAsia="zh-CN"/>
        </w:rPr>
        <w:t>、</w:t>
      </w:r>
      <w:r>
        <w:rPr>
          <w:rFonts w:hint="eastAsia" w:ascii="宋体" w:hAnsi="宋体"/>
          <w:color w:val="auto"/>
          <w:sz w:val="21"/>
          <w:szCs w:val="21"/>
        </w:rPr>
        <w:t>《广东省通用安装工程综合定额（2018）》</w:t>
      </w:r>
      <w:r>
        <w:rPr>
          <w:rFonts w:hint="eastAsia" w:ascii="宋体" w:hAnsi="宋体"/>
          <w:color w:val="auto"/>
          <w:sz w:val="21"/>
          <w:szCs w:val="21"/>
          <w:lang w:eastAsia="zh-CN"/>
        </w:rPr>
        <w:t>、</w:t>
      </w:r>
      <w:r>
        <w:rPr>
          <w:rFonts w:hint="eastAsia" w:ascii="宋体" w:hAnsi="宋体"/>
          <w:color w:val="auto"/>
          <w:sz w:val="21"/>
          <w:szCs w:val="21"/>
        </w:rPr>
        <w:t>《广东省建设工程施工机具台班费用编制规则（2018）》</w:t>
      </w:r>
      <w:r>
        <w:rPr>
          <w:rFonts w:hint="eastAsia" w:ascii="宋体" w:hAnsi="宋体"/>
          <w:color w:val="auto"/>
          <w:sz w:val="21"/>
          <w:szCs w:val="21"/>
          <w:lang w:eastAsia="zh-CN"/>
        </w:rPr>
        <w:t>。</w:t>
      </w:r>
    </w:p>
    <w:p w14:paraId="445B7888">
      <w:pPr>
        <w:pStyle w:val="77"/>
        <w:keepLines w:val="0"/>
        <w:pageBreakBefore w:val="0"/>
        <w:numPr>
          <w:ilvl w:val="0"/>
          <w:numId w:val="2"/>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rPr>
      </w:pPr>
      <w:r>
        <w:rPr>
          <w:rFonts w:hint="eastAsia" w:ascii="宋体" w:hAnsi="宋体"/>
          <w:color w:val="auto"/>
          <w:sz w:val="21"/>
          <w:szCs w:val="21"/>
        </w:rPr>
        <w:t>《广东省住房和城乡建设厅关于调整广东省建设工程计价依据增值税税率的通知》（粤建标函〔2019〕819号）</w:t>
      </w:r>
      <w:r>
        <w:rPr>
          <w:rFonts w:hint="eastAsia" w:ascii="宋体" w:hAnsi="宋体"/>
          <w:color w:val="auto"/>
          <w:sz w:val="21"/>
          <w:szCs w:val="21"/>
          <w:lang w:eastAsia="zh-CN"/>
        </w:rPr>
        <w:t>。</w:t>
      </w:r>
    </w:p>
    <w:p w14:paraId="3CEB9A81">
      <w:pPr>
        <w:pStyle w:val="77"/>
        <w:keepLines w:val="0"/>
        <w:pageBreakBefore w:val="0"/>
        <w:numPr>
          <w:ilvl w:val="0"/>
          <w:numId w:val="2"/>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lang w:eastAsia="zh-CN"/>
        </w:rPr>
        <w:t>广州亚泰建筑设计院有限公司设计的《广州白云山制药总厂37号楼室内改造工程》</w:t>
      </w:r>
      <w:r>
        <w:rPr>
          <w:rFonts w:hint="eastAsia" w:ascii="宋体" w:hAnsi="宋体"/>
          <w:color w:val="auto"/>
          <w:sz w:val="21"/>
          <w:szCs w:val="21"/>
          <w:highlight w:val="none"/>
          <w:lang w:val="en-US" w:eastAsia="zh-CN"/>
        </w:rPr>
        <w:t>施工图纸</w:t>
      </w:r>
      <w:r>
        <w:rPr>
          <w:rFonts w:hint="eastAsia" w:ascii="宋体" w:hAnsi="宋体"/>
          <w:color w:val="auto"/>
          <w:sz w:val="21"/>
          <w:szCs w:val="21"/>
          <w:highlight w:val="none"/>
          <w:lang w:eastAsia="zh-CN"/>
        </w:rPr>
        <w:t>（图纸日期：202</w:t>
      </w:r>
      <w:r>
        <w:rPr>
          <w:rFonts w:hint="eastAsia" w:ascii="宋体" w:hAnsi="宋体"/>
          <w:color w:val="auto"/>
          <w:sz w:val="21"/>
          <w:szCs w:val="21"/>
          <w:highlight w:val="none"/>
          <w:lang w:val="en-US" w:eastAsia="zh-CN"/>
        </w:rPr>
        <w:t>6</w:t>
      </w:r>
      <w:r>
        <w:rPr>
          <w:rFonts w:hint="eastAsia" w:ascii="宋体" w:hAnsi="宋体"/>
          <w:color w:val="auto"/>
          <w:sz w:val="21"/>
          <w:szCs w:val="21"/>
          <w:highlight w:val="none"/>
          <w:lang w:eastAsia="zh-CN"/>
        </w:rPr>
        <w:t>年</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lang w:eastAsia="zh-CN"/>
        </w:rPr>
        <w:t>月）。</w:t>
      </w:r>
    </w:p>
    <w:p w14:paraId="6231F76F">
      <w:pPr>
        <w:pStyle w:val="77"/>
        <w:keepLines w:val="0"/>
        <w:pageBreakBefore w:val="0"/>
        <w:numPr>
          <w:ilvl w:val="0"/>
          <w:numId w:val="2"/>
        </w:numPr>
        <w:tabs>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执行广州市建设工程造价管理站《关于发布2026年2月份广州市建设工程价格信息及有关计价办法的通知（穗建造价〔2026〕25号），不足部分参考周边城市造价信息以及结合市场询价。其中：房屋建筑和市政工程人工费价格指数为109.15（含机上人工），房屋建筑工程施工机具费指数为103.03，市政基础设施工程施工机具费指数为102.54</w:t>
      </w:r>
      <w:r>
        <w:rPr>
          <w:rFonts w:hint="eastAsia" w:ascii="宋体" w:hAnsi="宋体"/>
          <w:color w:val="auto"/>
          <w:sz w:val="21"/>
          <w:szCs w:val="21"/>
          <w:highlight w:val="none"/>
          <w:lang w:eastAsia="zh-CN"/>
        </w:rPr>
        <w:t>。</w:t>
      </w:r>
    </w:p>
    <w:p w14:paraId="014F64F3">
      <w:pPr>
        <w:pStyle w:val="77"/>
        <w:keepLines w:val="0"/>
        <w:pageBreakBefore w:val="0"/>
        <w:numPr>
          <w:ilvl w:val="0"/>
          <w:numId w:val="2"/>
        </w:numPr>
        <w:tabs>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rPr>
      </w:pPr>
      <w:r>
        <w:rPr>
          <w:rFonts w:hint="eastAsia" w:ascii="宋体" w:hAnsi="宋体"/>
          <w:color w:val="auto"/>
          <w:sz w:val="21"/>
          <w:szCs w:val="21"/>
        </w:rPr>
        <w:t>国家相关法规及省市有关计费、计价文件规定。</w:t>
      </w:r>
    </w:p>
    <w:p w14:paraId="661FE6C1">
      <w:pPr>
        <w:pStyle w:val="2"/>
        <w:keepLines w:val="0"/>
        <w:pageBreakBefore w:val="0"/>
        <w:numPr>
          <w:ilvl w:val="0"/>
          <w:numId w:val="0"/>
        </w:numPr>
        <w:kinsoku/>
        <w:wordWrap/>
        <w:overflowPunct/>
        <w:topLinePunct w:val="0"/>
        <w:bidi w:val="0"/>
        <w:snapToGrid/>
        <w:spacing w:before="0" w:after="0" w:line="360" w:lineRule="auto"/>
        <w:textAlignment w:val="auto"/>
        <w:rPr>
          <w:rFonts w:hint="eastAsia" w:ascii="宋体" w:hAnsi="宋体" w:cs="Times New Roman"/>
          <w:color w:val="auto"/>
          <w:sz w:val="21"/>
          <w:szCs w:val="21"/>
        </w:rPr>
      </w:pPr>
      <w:r>
        <w:rPr>
          <w:rFonts w:hint="eastAsia" w:ascii="宋体" w:hAnsi="宋体" w:cs="Times New Roman"/>
          <w:color w:val="auto"/>
          <w:sz w:val="21"/>
          <w:szCs w:val="21"/>
        </w:rPr>
        <w:t>四、</w:t>
      </w:r>
      <w:r>
        <w:rPr>
          <w:rFonts w:hint="eastAsia" w:ascii="宋体" w:hAnsi="宋体" w:cs="Times New Roman"/>
          <w:color w:val="auto"/>
          <w:sz w:val="21"/>
          <w:szCs w:val="21"/>
          <w:lang w:val="en-US" w:eastAsia="zh-CN"/>
        </w:rPr>
        <w:t>投标人报价须知</w:t>
      </w:r>
      <w:bookmarkStart w:id="5" w:name="_GoBack"/>
      <w:bookmarkEnd w:id="5"/>
    </w:p>
    <w:p w14:paraId="5A3961B5">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rPr>
        <w:t>投标人投标时</w:t>
      </w:r>
      <w:r>
        <w:rPr>
          <w:rFonts w:ascii="宋体" w:hAnsi="宋体"/>
          <w:color w:val="auto"/>
          <w:sz w:val="21"/>
          <w:szCs w:val="21"/>
        </w:rPr>
        <w:t>应</w:t>
      </w:r>
      <w:r>
        <w:rPr>
          <w:rFonts w:hint="eastAsia" w:ascii="宋体" w:hAnsi="宋体"/>
          <w:color w:val="auto"/>
          <w:sz w:val="21"/>
          <w:szCs w:val="21"/>
        </w:rPr>
        <w:t>结合</w:t>
      </w:r>
      <w:r>
        <w:rPr>
          <w:rFonts w:ascii="宋体" w:hAnsi="宋体"/>
          <w:color w:val="auto"/>
          <w:sz w:val="21"/>
          <w:szCs w:val="21"/>
        </w:rPr>
        <w:t>招标文件、合同条款、技术规范及图纸</w:t>
      </w:r>
      <w:r>
        <w:rPr>
          <w:rFonts w:hint="eastAsia" w:ascii="宋体" w:hAnsi="宋体"/>
          <w:color w:val="auto"/>
          <w:sz w:val="21"/>
          <w:szCs w:val="21"/>
        </w:rPr>
        <w:t>报价</w:t>
      </w:r>
      <w:r>
        <w:rPr>
          <w:rFonts w:hint="eastAsia" w:ascii="宋体" w:hAnsi="宋体"/>
          <w:color w:val="auto"/>
          <w:sz w:val="21"/>
          <w:szCs w:val="21"/>
          <w:lang w:eastAsia="zh-CN"/>
        </w:rPr>
        <w:t>。</w:t>
      </w:r>
    </w:p>
    <w:p w14:paraId="74AB5105">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bookmarkStart w:id="4" w:name="OLE_LINK4"/>
      <w:r>
        <w:rPr>
          <w:rFonts w:hint="eastAsia" w:ascii="宋体" w:hAnsi="宋体"/>
          <w:color w:val="auto"/>
          <w:sz w:val="21"/>
          <w:szCs w:val="21"/>
          <w:highlight w:val="none"/>
          <w:lang w:val="en-US" w:eastAsia="zh-CN"/>
        </w:rPr>
        <w:t>清单项目</w:t>
      </w:r>
      <w:r>
        <w:rPr>
          <w:rFonts w:hint="eastAsia" w:ascii="宋体" w:hAnsi="宋体"/>
          <w:color w:val="auto"/>
          <w:sz w:val="21"/>
          <w:szCs w:val="21"/>
          <w:highlight w:val="none"/>
        </w:rPr>
        <w:t>的工作内容包含：①清单计量</w:t>
      </w:r>
      <w:r>
        <w:rPr>
          <w:rFonts w:hint="eastAsia" w:ascii="宋体" w:hAnsi="宋体"/>
          <w:color w:val="auto"/>
          <w:sz w:val="21"/>
          <w:szCs w:val="21"/>
          <w:highlight w:val="none"/>
          <w:lang w:val="en-US" w:eastAsia="zh-CN"/>
        </w:rPr>
        <w:t>标准</w:t>
      </w:r>
      <w:r>
        <w:rPr>
          <w:rFonts w:hint="eastAsia" w:ascii="宋体" w:hAnsi="宋体"/>
          <w:color w:val="auto"/>
          <w:sz w:val="21"/>
          <w:szCs w:val="21"/>
          <w:highlight w:val="none"/>
        </w:rPr>
        <w:t>规定的工作内容，项目名称及项目特征描述的工作内容；②《建设工程工程量清单计价</w:t>
      </w:r>
      <w:r>
        <w:rPr>
          <w:rFonts w:hint="eastAsia" w:ascii="宋体" w:hAnsi="宋体"/>
          <w:color w:val="auto"/>
          <w:sz w:val="21"/>
          <w:szCs w:val="21"/>
          <w:highlight w:val="none"/>
          <w:lang w:val="en-US" w:eastAsia="zh-CN"/>
        </w:rPr>
        <w:t>标准</w:t>
      </w:r>
      <w:r>
        <w:rPr>
          <w:rFonts w:hint="eastAsia" w:ascii="宋体" w:hAnsi="宋体"/>
          <w:color w:val="auto"/>
          <w:sz w:val="21"/>
          <w:szCs w:val="21"/>
          <w:highlight w:val="none"/>
        </w:rPr>
        <w:t>》（GB</w:t>
      </w:r>
      <w:r>
        <w:rPr>
          <w:rFonts w:hint="eastAsia" w:ascii="宋体" w:hAnsi="宋体"/>
          <w:color w:val="auto"/>
          <w:sz w:val="21"/>
          <w:szCs w:val="21"/>
          <w:highlight w:val="none"/>
          <w:lang w:val="en-US" w:eastAsia="zh-CN"/>
        </w:rPr>
        <w:t xml:space="preserve">/T </w:t>
      </w:r>
      <w:r>
        <w:rPr>
          <w:rFonts w:hint="eastAsia" w:ascii="宋体" w:hAnsi="宋体"/>
          <w:color w:val="auto"/>
          <w:sz w:val="21"/>
          <w:szCs w:val="21"/>
          <w:highlight w:val="none"/>
        </w:rPr>
        <w:t>50500-2</w:t>
      </w:r>
      <w:r>
        <w:rPr>
          <w:rFonts w:hint="eastAsia" w:ascii="宋体" w:hAnsi="宋体"/>
          <w:color w:val="auto"/>
          <w:sz w:val="21"/>
          <w:szCs w:val="21"/>
          <w:highlight w:val="none"/>
          <w:lang w:val="en-US" w:eastAsia="zh-CN"/>
        </w:rPr>
        <w:t>024</w:t>
      </w:r>
      <w:r>
        <w:rPr>
          <w:rFonts w:hint="eastAsia" w:ascii="宋体" w:hAnsi="宋体"/>
          <w:color w:val="auto"/>
          <w:sz w:val="21"/>
          <w:szCs w:val="21"/>
          <w:highlight w:val="none"/>
        </w:rPr>
        <w:t>）、《广东省建设工程计价依据（2018）》中规定的工作内容；③除①②外完成本工程需要的其他工作内容（结合施工组织设计）。</w:t>
      </w:r>
    </w:p>
    <w:bookmarkEnd w:id="4"/>
    <w:p w14:paraId="7D99BD3D">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工程量清单项目中【项目特征】的描述须与本说明和规定共同使用。工程量清单项目中的综合单价除包括上述内容外，还应结合招标文件、招标文件所附合同条款、图纸等技术文件、有关技术规范及标准、现场施工条件、施工组织设计及施工方案等阅读、理解并进行报价。</w:t>
      </w:r>
    </w:p>
    <w:p w14:paraId="0D950359">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ascii="宋体" w:hAnsi="宋体"/>
          <w:color w:val="auto"/>
          <w:sz w:val="21"/>
          <w:szCs w:val="21"/>
          <w:highlight w:val="none"/>
        </w:rPr>
        <w:t>工程量清单中开列清单项目的工程量计算规则，在清单项目名称及特征中有说明的按照该说明，无说明的按照</w:t>
      </w:r>
      <w:r>
        <w:rPr>
          <w:rFonts w:hint="eastAsia" w:ascii="宋体" w:hAnsi="宋体"/>
          <w:color w:val="auto"/>
          <w:sz w:val="21"/>
          <w:szCs w:val="21"/>
          <w:highlight w:val="none"/>
        </w:rPr>
        <w:t>清单</w:t>
      </w:r>
      <w:r>
        <w:rPr>
          <w:rFonts w:hint="eastAsia" w:ascii="宋体" w:hAnsi="宋体"/>
          <w:color w:val="auto"/>
          <w:sz w:val="21"/>
          <w:szCs w:val="21"/>
          <w:highlight w:val="none"/>
          <w:lang w:val="en-US" w:eastAsia="zh-CN"/>
        </w:rPr>
        <w:t>编制依据</w:t>
      </w:r>
      <w:r>
        <w:rPr>
          <w:rFonts w:ascii="宋体" w:hAnsi="宋体"/>
          <w:color w:val="auto"/>
          <w:sz w:val="21"/>
          <w:szCs w:val="21"/>
          <w:highlight w:val="none"/>
        </w:rPr>
        <w:t>执行。</w:t>
      </w:r>
    </w:p>
    <w:p w14:paraId="0BD2559C">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ascii="宋体" w:hAnsi="宋体"/>
          <w:color w:val="auto"/>
          <w:sz w:val="21"/>
          <w:szCs w:val="21"/>
          <w:highlight w:val="none"/>
        </w:rPr>
        <w:t>投标人应对工程量清单列出的每一清单项目均需填报单价和合价。对没有填入或填入为“0”的单价与合价项目，则视为该项费用已含在其他工程量报价清单中的综合单价与合价内，或被视为免费提供此项服务，</w:t>
      </w:r>
      <w:r>
        <w:rPr>
          <w:rFonts w:hint="eastAsia" w:ascii="宋体" w:hAnsi="宋体"/>
          <w:color w:val="auto"/>
          <w:sz w:val="21"/>
          <w:szCs w:val="21"/>
          <w:highlight w:val="none"/>
          <w:lang w:val="en-US" w:eastAsia="zh-CN"/>
        </w:rPr>
        <w:t>除合同另有约定，结算时</w:t>
      </w:r>
      <w:r>
        <w:rPr>
          <w:rFonts w:ascii="宋体" w:hAnsi="宋体"/>
          <w:color w:val="auto"/>
          <w:sz w:val="21"/>
          <w:szCs w:val="21"/>
          <w:highlight w:val="none"/>
        </w:rPr>
        <w:t>不做调整。</w:t>
      </w:r>
    </w:p>
    <w:p w14:paraId="563679A9">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洞内、地下室内、库内或暗室内</w:t>
      </w:r>
      <w:r>
        <w:rPr>
          <w:rFonts w:hint="eastAsia" w:ascii="宋体" w:hAnsi="宋体"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需要照明</w:t>
      </w:r>
      <w:r>
        <w:rPr>
          <w:rFonts w:hint="eastAsia" w:ascii="宋体" w:hAnsi="宋体" w:cs="Times New Roman"/>
          <w:color w:val="auto"/>
          <w:kern w:val="2"/>
          <w:sz w:val="21"/>
          <w:szCs w:val="21"/>
          <w:highlight w:val="none"/>
          <w:lang w:val="en-US" w:eastAsia="zh-CN" w:bidi="ar-SA"/>
        </w:rPr>
        <w:t>）</w:t>
      </w:r>
      <w:r>
        <w:rPr>
          <w:rFonts w:hint="eastAsia" w:ascii="宋体" w:hAnsi="宋体" w:eastAsia="宋体" w:cs="Times New Roman"/>
          <w:color w:val="auto"/>
          <w:kern w:val="2"/>
          <w:sz w:val="21"/>
          <w:szCs w:val="21"/>
          <w:highlight w:val="none"/>
          <w:lang w:val="en-US" w:eastAsia="zh-CN" w:bidi="ar-SA"/>
        </w:rPr>
        <w:t>进行施工增加费及地下（暗）室、设备及大口径管道内等特殊施工部位进行施工增加费</w:t>
      </w:r>
      <w:r>
        <w:rPr>
          <w:rFonts w:hint="eastAsia" w:ascii="宋体" w:hAnsi="宋体"/>
          <w:color w:val="auto"/>
          <w:sz w:val="21"/>
          <w:szCs w:val="21"/>
          <w:highlight w:val="none"/>
          <w:lang w:val="en-US" w:eastAsia="zh-CN"/>
        </w:rPr>
        <w:t>：由</w:t>
      </w:r>
      <w:r>
        <w:rPr>
          <w:rFonts w:hint="eastAsia" w:ascii="宋体" w:hAnsi="宋体"/>
          <w:color w:val="auto"/>
          <w:sz w:val="21"/>
          <w:szCs w:val="21"/>
          <w:highlight w:val="none"/>
        </w:rPr>
        <w:t>投标人</w:t>
      </w:r>
      <w:r>
        <w:rPr>
          <w:rFonts w:hint="eastAsia" w:ascii="宋体" w:hAnsi="宋体"/>
          <w:color w:val="auto"/>
          <w:sz w:val="21"/>
          <w:szCs w:val="21"/>
          <w:highlight w:val="none"/>
          <w:lang w:val="en-US" w:eastAsia="zh-CN"/>
        </w:rPr>
        <w:t>根据设计图纸及招标文件等资料自行</w:t>
      </w:r>
      <w:r>
        <w:rPr>
          <w:rFonts w:hint="eastAsia" w:ascii="宋体" w:hAnsi="宋体"/>
          <w:color w:val="auto"/>
          <w:sz w:val="21"/>
          <w:szCs w:val="21"/>
          <w:highlight w:val="none"/>
        </w:rPr>
        <w:t>报价。该费用在完成规定内容且验收符合要求的前提下属合价包干项目，结算时不作调整。</w:t>
      </w:r>
    </w:p>
    <w:p w14:paraId="56B4280A">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总承包服务费</w:t>
      </w:r>
      <w:r>
        <w:rPr>
          <w:rFonts w:hint="eastAsia" w:ascii="宋体" w:hAnsi="宋体"/>
          <w:color w:val="auto"/>
          <w:sz w:val="21"/>
          <w:szCs w:val="21"/>
          <w:highlight w:val="none"/>
          <w:lang w:eastAsia="zh-CN"/>
        </w:rPr>
        <w:t>：</w:t>
      </w:r>
      <w:r>
        <w:rPr>
          <w:rFonts w:hint="eastAsia" w:ascii="宋体" w:hAnsi="宋体"/>
          <w:color w:val="auto"/>
          <w:sz w:val="21"/>
          <w:szCs w:val="21"/>
          <w:highlight w:val="none"/>
        </w:rPr>
        <w:t>总包管理内容满足招标文件要求，包括但不限于总承包人为配合协调发包人在法律法规允许的范围内进行工程分包和自行采购的设备、材料等进行管理、服务（如分包人使用总包人的脚手架、水电接驳等）以</w:t>
      </w:r>
      <w:r>
        <w:rPr>
          <w:rFonts w:ascii="宋体" w:hAnsi="宋体"/>
          <w:color w:val="auto"/>
          <w:sz w:val="21"/>
          <w:szCs w:val="21"/>
          <w:highlight w:val="none"/>
        </w:rPr>
        <w:t>及施工现场管理、竣工资料汇总整理等服务所需的费用</w:t>
      </w:r>
      <w:r>
        <w:rPr>
          <w:rFonts w:hint="eastAsia" w:ascii="宋体" w:hAnsi="宋体"/>
          <w:color w:val="auto"/>
          <w:sz w:val="21"/>
          <w:szCs w:val="21"/>
          <w:highlight w:val="none"/>
          <w:lang w:eastAsia="zh-CN"/>
        </w:rPr>
        <w:t>。</w:t>
      </w:r>
    </w:p>
    <w:p w14:paraId="7EB28CF6">
      <w:pPr>
        <w:pStyle w:val="77"/>
        <w:keepLines w:val="0"/>
        <w:pageBreakBefore w:val="0"/>
        <w:numPr>
          <w:ilvl w:val="0"/>
          <w:numId w:val="3"/>
        </w:numPr>
        <w:tabs>
          <w:tab w:val="left" w:pos="0"/>
          <w:tab w:val="left" w:pos="210"/>
          <w:tab w:val="left" w:pos="420"/>
        </w:tabs>
        <w:kinsoku/>
        <w:wordWrap/>
        <w:overflowPunct/>
        <w:topLinePunct w:val="0"/>
        <w:autoSpaceDE/>
        <w:autoSpaceDN/>
        <w:bidi w:val="0"/>
        <w:adjustRightInd/>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预算包干费按各专业费率计取。</w:t>
      </w:r>
    </w:p>
    <w:p w14:paraId="01025393">
      <w:pPr>
        <w:pStyle w:val="2"/>
        <w:keepLines w:val="0"/>
        <w:pageBreakBefore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不可竞争费用明细表</w:t>
      </w:r>
    </w:p>
    <w:p w14:paraId="6F45E4BA">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ind w:leftChars="200"/>
        <w:jc w:val="center"/>
        <w:textAlignment w:val="auto"/>
        <w:rPr>
          <w:rFonts w:hint="eastAsia" w:ascii="宋体" w:hAnsi="宋体"/>
          <w:color w:val="auto"/>
          <w:sz w:val="21"/>
          <w:szCs w:val="21"/>
          <w:highlight w:val="none"/>
          <w:lang w:val="en-US" w:eastAsia="zh-CN"/>
        </w:rPr>
      </w:pPr>
    </w:p>
    <w:p w14:paraId="5B46D188">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ind w:leftChars="200"/>
        <w:jc w:val="center"/>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附表1.安全生产措施费、暂列金额一览表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2"/>
        <w:gridCol w:w="4353"/>
        <w:gridCol w:w="2421"/>
        <w:gridCol w:w="1360"/>
      </w:tblGrid>
      <w:tr w14:paraId="2ACE4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blHeader/>
        </w:trPr>
        <w:tc>
          <w:tcPr>
            <w:tcW w:w="1152" w:type="dxa"/>
            <w:vAlign w:val="center"/>
          </w:tcPr>
          <w:p w14:paraId="408ABF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序号</w:t>
            </w:r>
          </w:p>
        </w:tc>
        <w:tc>
          <w:tcPr>
            <w:tcW w:w="4353" w:type="dxa"/>
            <w:vAlign w:val="center"/>
          </w:tcPr>
          <w:p w14:paraId="2E23908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名称</w:t>
            </w:r>
          </w:p>
        </w:tc>
        <w:tc>
          <w:tcPr>
            <w:tcW w:w="2421" w:type="dxa"/>
            <w:vAlign w:val="center"/>
          </w:tcPr>
          <w:p w14:paraId="364DE9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金额（元）</w:t>
            </w:r>
          </w:p>
        </w:tc>
        <w:tc>
          <w:tcPr>
            <w:tcW w:w="1360" w:type="dxa"/>
            <w:vAlign w:val="center"/>
          </w:tcPr>
          <w:p w14:paraId="17EB31B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备注</w:t>
            </w:r>
          </w:p>
        </w:tc>
      </w:tr>
      <w:tr w14:paraId="67E7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152" w:type="dxa"/>
            <w:vAlign w:val="center"/>
          </w:tcPr>
          <w:p w14:paraId="1EC0F3FA">
            <w:pPr>
              <w:keepNext w:val="0"/>
              <w:keepLines w:val="0"/>
              <w:widowControl/>
              <w:suppressLineNumbers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2"/>
                <w:sz w:val="20"/>
                <w:szCs w:val="20"/>
                <w:u w:val="none"/>
                <w:lang w:val="en-US" w:eastAsia="zh-CN" w:bidi="ar-SA"/>
              </w:rPr>
              <w:t>1</w:t>
            </w:r>
          </w:p>
        </w:tc>
        <w:tc>
          <w:tcPr>
            <w:tcW w:w="4353" w:type="dxa"/>
            <w:vAlign w:val="center"/>
          </w:tcPr>
          <w:p w14:paraId="4FA3D5F4">
            <w:pPr>
              <w:keepNext w:val="0"/>
              <w:keepLines w:val="0"/>
              <w:widowControl/>
              <w:suppressLineNumbers w:val="0"/>
              <w:jc w:val="left"/>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安全生产措施费</w:t>
            </w:r>
          </w:p>
        </w:tc>
        <w:tc>
          <w:tcPr>
            <w:tcW w:w="2421" w:type="dxa"/>
            <w:vAlign w:val="center"/>
          </w:tcPr>
          <w:p w14:paraId="469F2D36">
            <w:pPr>
              <w:keepNext w:val="0"/>
              <w:keepLines w:val="0"/>
              <w:widowControl/>
              <w:suppressLineNumbers w:val="0"/>
              <w:jc w:val="center"/>
              <w:textAlignment w:val="center"/>
              <w:rPr>
                <w:rFonts w:hint="default" w:ascii="宋体" w:hAnsi="宋体" w:eastAsia="宋体" w:cs="宋体"/>
                <w:i w:val="0"/>
                <w:iCs w:val="0"/>
                <w:color w:val="262626"/>
                <w:kern w:val="0"/>
                <w:sz w:val="20"/>
                <w:szCs w:val="20"/>
                <w:u w:val="none"/>
                <w:lang w:val="en-US" w:eastAsia="zh-CN" w:bidi="ar"/>
              </w:rPr>
            </w:pPr>
            <w:r>
              <w:rPr>
                <w:rFonts w:hint="eastAsia" w:ascii="宋体" w:hAnsi="宋体" w:cs="宋体"/>
                <w:i w:val="0"/>
                <w:iCs w:val="0"/>
                <w:color w:val="262626"/>
                <w:kern w:val="0"/>
                <w:sz w:val="20"/>
                <w:szCs w:val="20"/>
                <w:u w:val="none"/>
                <w:lang w:val="en-US" w:eastAsia="zh-CN" w:bidi="ar"/>
              </w:rPr>
              <w:t>9336.19</w:t>
            </w:r>
          </w:p>
        </w:tc>
        <w:tc>
          <w:tcPr>
            <w:tcW w:w="1360" w:type="dxa"/>
            <w:vAlign w:val="center"/>
          </w:tcPr>
          <w:p w14:paraId="4286ADD5">
            <w:pPr>
              <w:jc w:val="center"/>
              <w:rPr>
                <w:rFonts w:hint="default" w:ascii="宋体" w:hAnsi="宋体" w:eastAsia="宋体" w:cs="宋体"/>
                <w:i w:val="0"/>
                <w:iCs w:val="0"/>
                <w:color w:val="262626"/>
                <w:sz w:val="20"/>
                <w:szCs w:val="20"/>
                <w:u w:val="none"/>
                <w:lang w:val="en-US" w:eastAsia="zh-CN"/>
              </w:rPr>
            </w:pPr>
            <w:r>
              <w:rPr>
                <w:rFonts w:hint="eastAsia" w:ascii="宋体" w:hAnsi="宋体" w:cs="宋体"/>
                <w:i w:val="0"/>
                <w:iCs w:val="0"/>
                <w:color w:val="262626"/>
                <w:sz w:val="20"/>
                <w:szCs w:val="20"/>
                <w:u w:val="none"/>
                <w:lang w:val="en-US" w:eastAsia="zh-CN"/>
              </w:rPr>
              <w:t>不含税价</w:t>
            </w:r>
          </w:p>
        </w:tc>
      </w:tr>
      <w:tr w14:paraId="0A5E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52" w:type="dxa"/>
            <w:vAlign w:val="center"/>
          </w:tcPr>
          <w:p w14:paraId="5D1FDFAB">
            <w:pPr>
              <w:keepNext w:val="0"/>
              <w:keepLines w:val="0"/>
              <w:widowControl/>
              <w:suppressLineNumbers w:val="0"/>
              <w:jc w:val="center"/>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2"/>
                <w:sz w:val="20"/>
                <w:szCs w:val="20"/>
                <w:u w:val="none"/>
                <w:lang w:val="en-US" w:eastAsia="zh-CN" w:bidi="ar-SA"/>
              </w:rPr>
              <w:t>2</w:t>
            </w:r>
          </w:p>
        </w:tc>
        <w:tc>
          <w:tcPr>
            <w:tcW w:w="4353" w:type="dxa"/>
            <w:vAlign w:val="center"/>
          </w:tcPr>
          <w:p w14:paraId="43AD0F36">
            <w:pPr>
              <w:keepNext w:val="0"/>
              <w:keepLines w:val="0"/>
              <w:widowControl/>
              <w:suppressLineNumbers w:val="0"/>
              <w:jc w:val="left"/>
              <w:textAlignment w:val="center"/>
              <w:rPr>
                <w:rFonts w:hint="eastAsia" w:ascii="宋体" w:hAnsi="宋体" w:eastAsia="宋体" w:cs="宋体"/>
                <w:i w:val="0"/>
                <w:iCs w:val="0"/>
                <w:color w:val="262626"/>
                <w:kern w:val="2"/>
                <w:sz w:val="20"/>
                <w:szCs w:val="20"/>
                <w:u w:val="none"/>
                <w:lang w:val="en-US" w:eastAsia="zh-CN" w:bidi="ar-SA"/>
              </w:rPr>
            </w:pPr>
            <w:r>
              <w:rPr>
                <w:rFonts w:hint="eastAsia" w:ascii="宋体" w:hAnsi="宋体" w:eastAsia="宋体" w:cs="宋体"/>
                <w:i w:val="0"/>
                <w:iCs w:val="0"/>
                <w:color w:val="262626"/>
                <w:kern w:val="0"/>
                <w:sz w:val="20"/>
                <w:szCs w:val="20"/>
                <w:u w:val="none"/>
                <w:lang w:val="en-US" w:eastAsia="zh-CN" w:bidi="ar"/>
              </w:rPr>
              <w:t>暂列金额</w:t>
            </w:r>
          </w:p>
        </w:tc>
        <w:tc>
          <w:tcPr>
            <w:tcW w:w="2421" w:type="dxa"/>
            <w:vAlign w:val="center"/>
          </w:tcPr>
          <w:p w14:paraId="109C12BB">
            <w:pPr>
              <w:keepNext w:val="0"/>
              <w:keepLines w:val="0"/>
              <w:widowControl/>
              <w:suppressLineNumbers w:val="0"/>
              <w:jc w:val="center"/>
              <w:textAlignment w:val="center"/>
              <w:rPr>
                <w:rFonts w:hint="default" w:ascii="宋体" w:hAnsi="宋体" w:eastAsia="宋体" w:cs="宋体"/>
                <w:i w:val="0"/>
                <w:iCs w:val="0"/>
                <w:color w:val="262626"/>
                <w:kern w:val="0"/>
                <w:sz w:val="20"/>
                <w:szCs w:val="20"/>
                <w:u w:val="none"/>
                <w:lang w:val="en-US" w:eastAsia="zh-CN" w:bidi="ar"/>
              </w:rPr>
            </w:pPr>
            <w:r>
              <w:rPr>
                <w:rFonts w:hint="eastAsia" w:ascii="宋体" w:hAnsi="宋体" w:cs="宋体"/>
                <w:i w:val="0"/>
                <w:iCs w:val="0"/>
                <w:color w:val="262626"/>
                <w:kern w:val="0"/>
                <w:sz w:val="20"/>
                <w:szCs w:val="20"/>
                <w:u w:val="none"/>
                <w:lang w:val="en-US" w:eastAsia="zh-CN" w:bidi="ar"/>
              </w:rPr>
              <w:t>28746.82</w:t>
            </w:r>
          </w:p>
        </w:tc>
        <w:tc>
          <w:tcPr>
            <w:tcW w:w="1360" w:type="dxa"/>
            <w:vAlign w:val="center"/>
          </w:tcPr>
          <w:p w14:paraId="2C791DB6">
            <w:pPr>
              <w:jc w:val="center"/>
              <w:rPr>
                <w:rFonts w:hint="eastAsia" w:ascii="宋体" w:hAnsi="宋体" w:eastAsia="宋体" w:cs="宋体"/>
                <w:i w:val="0"/>
                <w:iCs w:val="0"/>
                <w:color w:val="262626"/>
                <w:sz w:val="20"/>
                <w:szCs w:val="20"/>
                <w:u w:val="none"/>
              </w:rPr>
            </w:pPr>
            <w:r>
              <w:rPr>
                <w:rFonts w:hint="eastAsia" w:ascii="宋体" w:hAnsi="宋体" w:cs="宋体"/>
                <w:i w:val="0"/>
                <w:iCs w:val="0"/>
                <w:color w:val="262626"/>
                <w:sz w:val="20"/>
                <w:szCs w:val="20"/>
                <w:u w:val="none"/>
                <w:lang w:val="en-US" w:eastAsia="zh-CN"/>
              </w:rPr>
              <w:t>不含税价</w:t>
            </w:r>
          </w:p>
        </w:tc>
      </w:tr>
    </w:tbl>
    <w:p w14:paraId="059C8560">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ind w:leftChars="200"/>
        <w:jc w:val="center"/>
        <w:textAlignment w:val="auto"/>
        <w:rPr>
          <w:rFonts w:hint="eastAsia" w:ascii="宋体" w:hAnsi="宋体" w:cs="Times New Roman"/>
          <w:color w:val="auto"/>
          <w:sz w:val="21"/>
          <w:szCs w:val="21"/>
          <w:highlight w:val="none"/>
          <w:lang w:val="en-US" w:eastAsia="zh-CN"/>
        </w:rPr>
      </w:pPr>
    </w:p>
    <w:p w14:paraId="6AE31982">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ind w:leftChars="200"/>
        <w:jc w:val="center"/>
        <w:textAlignment w:val="auto"/>
        <w:rPr>
          <w:rFonts w:hint="eastAsia" w:ascii="宋体" w:hAnsi="宋体" w:cs="Times New Roman"/>
          <w:color w:val="auto"/>
          <w:sz w:val="21"/>
          <w:szCs w:val="21"/>
          <w:highlight w:val="none"/>
          <w:lang w:val="en-US" w:eastAsia="zh-CN"/>
        </w:rPr>
      </w:pPr>
    </w:p>
    <w:p w14:paraId="4A26FF19">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ind w:leftChars="200"/>
        <w:jc w:val="center"/>
        <w:textAlignment w:val="auto"/>
        <w:rPr>
          <w:rFonts w:hint="eastAsia" w:ascii="宋体" w:hAnsi="宋体" w:cs="Times New Roman"/>
          <w:color w:val="auto"/>
          <w:sz w:val="21"/>
          <w:szCs w:val="21"/>
          <w:highlight w:val="none"/>
          <w:lang w:val="en-US" w:eastAsia="zh-CN"/>
        </w:rPr>
      </w:pPr>
      <w:r>
        <w:rPr>
          <w:rFonts w:hint="eastAsia" w:ascii="宋体" w:hAnsi="宋体" w:cs="Times New Roman"/>
          <w:color w:val="auto"/>
          <w:sz w:val="21"/>
          <w:szCs w:val="21"/>
          <w:highlight w:val="none"/>
          <w:lang w:val="en-US" w:eastAsia="zh-CN"/>
        </w:rPr>
        <w:t>附表2.专业工程暂估价一览表</w:t>
      </w:r>
    </w:p>
    <w:tbl>
      <w:tblPr>
        <w:tblStyle w:val="25"/>
        <w:tblW w:w="0" w:type="auto"/>
        <w:jc w:val="center"/>
        <w:tblLayout w:type="fixed"/>
        <w:tblCellMar>
          <w:top w:w="0" w:type="dxa"/>
          <w:left w:w="108" w:type="dxa"/>
          <w:bottom w:w="0" w:type="dxa"/>
          <w:right w:w="108" w:type="dxa"/>
        </w:tblCellMar>
      </w:tblPr>
      <w:tblGrid>
        <w:gridCol w:w="1152"/>
        <w:gridCol w:w="4320"/>
        <w:gridCol w:w="2465"/>
        <w:gridCol w:w="1349"/>
      </w:tblGrid>
      <w:tr w14:paraId="09CF4475">
        <w:tblPrEx>
          <w:tblCellMar>
            <w:top w:w="0" w:type="dxa"/>
            <w:left w:w="108" w:type="dxa"/>
            <w:bottom w:w="0" w:type="dxa"/>
            <w:right w:w="108" w:type="dxa"/>
          </w:tblCellMar>
        </w:tblPrEx>
        <w:trPr>
          <w:trHeight w:val="500" w:hRule="atLeast"/>
          <w:tblHeader/>
          <w:jc w:val="center"/>
        </w:trPr>
        <w:tc>
          <w:tcPr>
            <w:tcW w:w="1152" w:type="dxa"/>
            <w:tcBorders>
              <w:top w:val="single" w:color="auto" w:sz="4" w:space="0"/>
              <w:left w:val="single" w:color="auto" w:sz="4" w:space="0"/>
              <w:bottom w:val="single" w:color="auto" w:sz="4" w:space="0"/>
              <w:right w:val="single" w:color="auto" w:sz="4" w:space="0"/>
            </w:tcBorders>
            <w:noWrap w:val="0"/>
            <w:vAlign w:val="center"/>
          </w:tcPr>
          <w:p w14:paraId="1C93025E">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序号</w:t>
            </w:r>
          </w:p>
        </w:tc>
        <w:tc>
          <w:tcPr>
            <w:tcW w:w="4320" w:type="dxa"/>
            <w:tcBorders>
              <w:top w:val="single" w:color="auto" w:sz="4" w:space="0"/>
              <w:left w:val="nil"/>
              <w:bottom w:val="single" w:color="auto" w:sz="4" w:space="0"/>
              <w:right w:val="single" w:color="auto" w:sz="4" w:space="0"/>
            </w:tcBorders>
            <w:noWrap w:val="0"/>
            <w:vAlign w:val="center"/>
          </w:tcPr>
          <w:p w14:paraId="6C9726D4">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名称</w:t>
            </w:r>
          </w:p>
        </w:tc>
        <w:tc>
          <w:tcPr>
            <w:tcW w:w="2465" w:type="dxa"/>
            <w:tcBorders>
              <w:top w:val="single" w:color="auto" w:sz="4" w:space="0"/>
              <w:left w:val="nil"/>
              <w:bottom w:val="single" w:color="auto" w:sz="4" w:space="0"/>
              <w:right w:val="single" w:color="auto" w:sz="4" w:space="0"/>
            </w:tcBorders>
            <w:noWrap w:val="0"/>
            <w:vAlign w:val="center"/>
          </w:tcPr>
          <w:p w14:paraId="61E9B840">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金额（元）</w:t>
            </w:r>
          </w:p>
        </w:tc>
        <w:tc>
          <w:tcPr>
            <w:tcW w:w="1349" w:type="dxa"/>
            <w:tcBorders>
              <w:top w:val="single" w:color="auto" w:sz="4" w:space="0"/>
              <w:left w:val="nil"/>
              <w:bottom w:val="single" w:color="auto" w:sz="4" w:space="0"/>
              <w:right w:val="single" w:color="auto" w:sz="4" w:space="0"/>
            </w:tcBorders>
            <w:noWrap w:val="0"/>
            <w:vAlign w:val="center"/>
          </w:tcPr>
          <w:p w14:paraId="4997F966">
            <w:pPr>
              <w:widowControl/>
              <w:jc w:val="center"/>
              <w:rPr>
                <w:rFonts w:hint="eastAsia" w:ascii="宋体" w:hAnsi="宋体" w:cs="宋体"/>
                <w:color w:val="000000"/>
                <w:kern w:val="0"/>
                <w:sz w:val="18"/>
                <w:szCs w:val="18"/>
                <w:highlight w:val="none"/>
              </w:rPr>
            </w:pPr>
            <w:r>
              <w:rPr>
                <w:rFonts w:hint="eastAsia" w:ascii="宋体" w:hAnsi="宋体" w:cs="宋体"/>
                <w:color w:val="000000"/>
                <w:kern w:val="0"/>
                <w:sz w:val="18"/>
                <w:szCs w:val="18"/>
                <w:highlight w:val="none"/>
              </w:rPr>
              <w:t>备注</w:t>
            </w:r>
          </w:p>
        </w:tc>
      </w:tr>
      <w:tr w14:paraId="1941A277">
        <w:tblPrEx>
          <w:tblCellMar>
            <w:top w:w="0" w:type="dxa"/>
            <w:left w:w="108" w:type="dxa"/>
            <w:bottom w:w="0" w:type="dxa"/>
            <w:right w:w="108" w:type="dxa"/>
          </w:tblCellMar>
        </w:tblPrEx>
        <w:trPr>
          <w:trHeight w:val="500" w:hRule="atLeast"/>
          <w:tblHeader/>
          <w:jc w:val="center"/>
        </w:trPr>
        <w:tc>
          <w:tcPr>
            <w:tcW w:w="115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03C852A">
            <w:pPr>
              <w:keepNext w:val="0"/>
              <w:keepLines w:val="0"/>
              <w:widowControl/>
              <w:suppressLineNumbers w:val="0"/>
              <w:jc w:val="center"/>
              <w:textAlignment w:val="center"/>
              <w:rPr>
                <w:rFonts w:hint="default" w:ascii="宋体" w:hAnsi="宋体" w:eastAsia="宋体" w:cs="宋体"/>
                <w:i w:val="0"/>
                <w:iCs w:val="0"/>
                <w:color w:val="262626"/>
                <w:kern w:val="2"/>
                <w:sz w:val="20"/>
                <w:szCs w:val="20"/>
                <w:highlight w:val="none"/>
                <w:u w:val="none"/>
                <w:lang w:val="en-US" w:eastAsia="zh-CN" w:bidi="ar-SA"/>
              </w:rPr>
            </w:pPr>
            <w:r>
              <w:rPr>
                <w:rFonts w:hint="eastAsia" w:ascii="宋体" w:hAnsi="宋体" w:eastAsia="宋体" w:cs="宋体"/>
                <w:i w:val="0"/>
                <w:iCs w:val="0"/>
                <w:color w:val="262626"/>
                <w:kern w:val="2"/>
                <w:sz w:val="20"/>
                <w:szCs w:val="20"/>
                <w:highlight w:val="none"/>
                <w:u w:val="none"/>
                <w:lang w:val="en-US" w:eastAsia="zh-CN" w:bidi="ar-SA"/>
              </w:rPr>
              <w:t>1</w:t>
            </w:r>
          </w:p>
        </w:tc>
        <w:tc>
          <w:tcPr>
            <w:tcW w:w="4320" w:type="dxa"/>
            <w:tcBorders>
              <w:top w:val="single" w:color="auto" w:sz="4" w:space="0"/>
              <w:left w:val="nil"/>
              <w:bottom w:val="single" w:color="auto" w:sz="4" w:space="0"/>
              <w:right w:val="single" w:color="auto" w:sz="4" w:space="0"/>
            </w:tcBorders>
            <w:shd w:val="clear" w:color="auto" w:fill="FFFFFF"/>
            <w:noWrap w:val="0"/>
            <w:vAlign w:val="center"/>
          </w:tcPr>
          <w:p w14:paraId="221D90A4">
            <w:pPr>
              <w:keepNext w:val="0"/>
              <w:keepLines w:val="0"/>
              <w:widowControl/>
              <w:suppressLineNumbers w:val="0"/>
              <w:spacing w:line="360" w:lineRule="auto"/>
              <w:jc w:val="center"/>
              <w:textAlignment w:val="center"/>
              <w:rPr>
                <w:rFonts w:hint="eastAsia" w:ascii="宋体" w:hAnsi="宋体" w:eastAsia="宋体" w:cs="宋体"/>
                <w:i w:val="0"/>
                <w:iCs w:val="0"/>
                <w:color w:val="262626"/>
                <w:kern w:val="2"/>
                <w:sz w:val="20"/>
                <w:szCs w:val="20"/>
                <w:highlight w:val="none"/>
                <w:u w:val="none"/>
                <w:lang w:val="en-US" w:eastAsia="zh-CN" w:bidi="ar-SA"/>
              </w:rPr>
            </w:pPr>
            <w:r>
              <w:rPr>
                <w:rFonts w:hint="eastAsia" w:ascii="宋体" w:hAnsi="宋体" w:cs="宋体"/>
                <w:i w:val="0"/>
                <w:iCs w:val="0"/>
                <w:color w:val="262626"/>
                <w:kern w:val="2"/>
                <w:sz w:val="20"/>
                <w:szCs w:val="20"/>
                <w:highlight w:val="none"/>
                <w:u w:val="none"/>
                <w:lang w:val="en-US" w:eastAsia="zh-CN" w:bidi="ar-SA"/>
              </w:rPr>
              <w:t>拆除工程</w:t>
            </w:r>
          </w:p>
        </w:tc>
        <w:tc>
          <w:tcPr>
            <w:tcW w:w="2465" w:type="dxa"/>
            <w:tcBorders>
              <w:top w:val="single" w:color="auto" w:sz="4" w:space="0"/>
              <w:left w:val="nil"/>
              <w:bottom w:val="single" w:color="auto" w:sz="4" w:space="0"/>
              <w:right w:val="single" w:color="auto" w:sz="4" w:space="0"/>
            </w:tcBorders>
            <w:shd w:val="clear" w:color="auto" w:fill="FFFFFF"/>
            <w:noWrap w:val="0"/>
            <w:vAlign w:val="top"/>
          </w:tcPr>
          <w:p w14:paraId="7EE9E898">
            <w:pPr>
              <w:keepNext w:val="0"/>
              <w:keepLines w:val="0"/>
              <w:widowControl/>
              <w:suppressLineNumbers w:val="0"/>
              <w:spacing w:line="360" w:lineRule="auto"/>
              <w:jc w:val="center"/>
              <w:textAlignment w:val="center"/>
              <w:rPr>
                <w:rFonts w:hint="default" w:ascii="宋体" w:hAnsi="宋体" w:eastAsia="宋体" w:cs="宋体"/>
                <w:i w:val="0"/>
                <w:iCs w:val="0"/>
                <w:color w:val="262626"/>
                <w:kern w:val="2"/>
                <w:sz w:val="20"/>
                <w:szCs w:val="20"/>
                <w:highlight w:val="none"/>
                <w:u w:val="none"/>
                <w:lang w:val="en-US" w:eastAsia="zh-CN" w:bidi="ar-SA"/>
              </w:rPr>
            </w:pPr>
            <w:r>
              <w:rPr>
                <w:rFonts w:hint="eastAsia" w:ascii="宋体" w:hAnsi="宋体" w:cs="宋体"/>
                <w:i w:val="0"/>
                <w:iCs w:val="0"/>
                <w:color w:val="262626"/>
                <w:kern w:val="2"/>
                <w:sz w:val="20"/>
                <w:szCs w:val="20"/>
                <w:highlight w:val="none"/>
                <w:u w:val="none"/>
                <w:lang w:val="en-US" w:eastAsia="zh-CN" w:bidi="ar-SA"/>
              </w:rPr>
              <w:t>87200.00</w:t>
            </w:r>
          </w:p>
        </w:tc>
        <w:tc>
          <w:tcPr>
            <w:tcW w:w="1349" w:type="dxa"/>
            <w:tcBorders>
              <w:top w:val="single" w:color="auto" w:sz="4" w:space="0"/>
              <w:left w:val="nil"/>
              <w:bottom w:val="single" w:color="auto" w:sz="4" w:space="0"/>
              <w:right w:val="single" w:color="auto" w:sz="4" w:space="0"/>
            </w:tcBorders>
            <w:shd w:val="clear" w:color="auto" w:fill="FFFFFF"/>
            <w:noWrap w:val="0"/>
            <w:vAlign w:val="top"/>
          </w:tcPr>
          <w:p w14:paraId="7690B5E4">
            <w:pPr>
              <w:keepNext w:val="0"/>
              <w:keepLines w:val="0"/>
              <w:widowControl/>
              <w:suppressLineNumbers w:val="0"/>
              <w:spacing w:line="360" w:lineRule="auto"/>
              <w:jc w:val="center"/>
              <w:textAlignment w:val="center"/>
              <w:rPr>
                <w:rFonts w:hint="eastAsia" w:ascii="宋体" w:hAnsi="宋体" w:eastAsia="宋体" w:cs="宋体"/>
                <w:i w:val="0"/>
                <w:iCs w:val="0"/>
                <w:color w:val="262626"/>
                <w:kern w:val="2"/>
                <w:sz w:val="20"/>
                <w:szCs w:val="20"/>
                <w:highlight w:val="none"/>
                <w:u w:val="none"/>
                <w:lang w:val="en-US" w:eastAsia="zh-CN" w:bidi="ar-SA"/>
              </w:rPr>
            </w:pPr>
            <w:r>
              <w:rPr>
                <w:rFonts w:hint="eastAsia" w:ascii="宋体" w:hAnsi="宋体" w:eastAsia="宋体" w:cs="宋体"/>
                <w:i w:val="0"/>
                <w:iCs w:val="0"/>
                <w:color w:val="262626"/>
                <w:kern w:val="2"/>
                <w:sz w:val="20"/>
                <w:szCs w:val="20"/>
                <w:highlight w:val="none"/>
                <w:u w:val="none"/>
                <w:lang w:val="en-US" w:eastAsia="zh-CN" w:bidi="ar-SA"/>
              </w:rPr>
              <w:t>含税价</w:t>
            </w:r>
          </w:p>
        </w:tc>
      </w:tr>
    </w:tbl>
    <w:p w14:paraId="54C93D3E">
      <w:pPr>
        <w:pStyle w:val="77"/>
        <w:keepLines w:val="0"/>
        <w:pageBreakBefore w:val="0"/>
        <w:numPr>
          <w:ilvl w:val="0"/>
          <w:numId w:val="0"/>
        </w:numPr>
        <w:tabs>
          <w:tab w:val="left" w:pos="0"/>
          <w:tab w:val="left" w:pos="210"/>
          <w:tab w:val="left" w:pos="420"/>
        </w:tabs>
        <w:kinsoku/>
        <w:wordWrap/>
        <w:overflowPunct/>
        <w:topLinePunct w:val="0"/>
        <w:autoSpaceDE/>
        <w:autoSpaceDN/>
        <w:bidi w:val="0"/>
        <w:adjustRightInd/>
        <w:snapToGrid/>
        <w:spacing w:line="360" w:lineRule="auto"/>
        <w:jc w:val="both"/>
        <w:textAlignment w:val="auto"/>
        <w:rPr>
          <w:rFonts w:hint="eastAsia" w:ascii="宋体" w:hAnsi="宋体" w:cs="Times New Roman"/>
          <w:color w:val="auto"/>
          <w:sz w:val="21"/>
          <w:szCs w:val="21"/>
          <w:highlight w:val="none"/>
          <w:lang w:val="en-US" w:eastAsia="zh-CN"/>
        </w:rPr>
      </w:pPr>
    </w:p>
    <w:p w14:paraId="1BF790C0">
      <w:pPr>
        <w:pStyle w:val="77"/>
        <w:keepLines w:val="0"/>
        <w:pageBreakBefore w:val="0"/>
        <w:numPr>
          <w:ilvl w:val="0"/>
          <w:numId w:val="0"/>
        </w:numPr>
        <w:tabs>
          <w:tab w:val="left" w:pos="420"/>
        </w:tabs>
        <w:kinsoku/>
        <w:wordWrap/>
        <w:overflowPunct/>
        <w:topLinePunct w:val="0"/>
        <w:autoSpaceDE/>
        <w:autoSpaceDN/>
        <w:bidi w:val="0"/>
        <w:adjustRightInd/>
        <w:snapToGrid/>
        <w:spacing w:line="360" w:lineRule="auto"/>
        <w:textAlignment w:val="auto"/>
        <w:rPr>
          <w:rFonts w:hint="eastAsia" w:ascii="宋体" w:hAnsi="宋体"/>
          <w:color w:val="FF0000"/>
          <w:sz w:val="21"/>
          <w:szCs w:val="21"/>
        </w:rPr>
      </w:pPr>
    </w:p>
    <w:sectPr>
      <w:footerReference r:id="rId3" w:type="default"/>
      <w:pgSz w:w="11906" w:h="16838"/>
      <w:pgMar w:top="1134" w:right="1418" w:bottom="1134" w:left="141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UWPFSJ (GB)">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roman"/>
    <w:pitch w:val="default"/>
    <w:sig w:usb0="00000000" w:usb1="00000000"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49A04">
    <w:pPr>
      <w:pStyle w:val="19"/>
      <w:framePr w:wrap="around" w:vAnchor="text" w:hAnchor="margin" w:xAlign="right" w:y="1"/>
      <w:rPr>
        <w:rStyle w:val="28"/>
      </w:rPr>
    </w:pPr>
  </w:p>
  <w:p w14:paraId="6FE9AC1C">
    <w:pPr>
      <w:pStyle w:val="19"/>
      <w:ind w:right="360"/>
      <w:jc w:val="center"/>
      <w:rPr>
        <w:rFonts w:ascii="宋体" w:hAnsi="宋体"/>
      </w:rPr>
    </w:pPr>
    <w:r>
      <w:rPr>
        <w:rFonts w:ascii="宋体" w:hAnsi="宋体"/>
        <w:kern w:val="0"/>
        <w:szCs w:val="21"/>
      </w:rPr>
      <w:t xml:space="preserve">-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12</w:t>
    </w:r>
    <w:r>
      <w:rPr>
        <w:rFonts w:ascii="宋体" w:hAnsi="宋体"/>
        <w:kern w:val="0"/>
        <w:szCs w:val="21"/>
      </w:rPr>
      <w:fldChar w:fldCharType="end"/>
    </w:r>
    <w:r>
      <w:rPr>
        <w:rFonts w:ascii="宋体" w:hAnsi="宋体"/>
        <w:kern w:val="0"/>
        <w:szCs w:val="21"/>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634EC"/>
    <w:multiLevelType w:val="singleLevel"/>
    <w:tmpl w:val="80A634EC"/>
    <w:lvl w:ilvl="0" w:tentative="0">
      <w:start w:val="1"/>
      <w:numFmt w:val="decimal"/>
      <w:suff w:val="nothing"/>
      <w:lvlText w:val="%1．"/>
      <w:lvlJc w:val="left"/>
      <w:pPr>
        <w:ind w:left="0" w:firstLine="400"/>
      </w:pPr>
      <w:rPr>
        <w:rFonts w:hint="default"/>
      </w:rPr>
    </w:lvl>
  </w:abstractNum>
  <w:abstractNum w:abstractNumId="1">
    <w:nsid w:val="00000007"/>
    <w:multiLevelType w:val="multilevel"/>
    <w:tmpl w:val="00000007"/>
    <w:lvl w:ilvl="0" w:tentative="0">
      <w:start w:val="1"/>
      <w:numFmt w:val="decimal"/>
      <w:pStyle w:val="2"/>
      <w:lvlText w:val="%1."/>
      <w:legacy w:legacy="1" w:legacySpace="144" w:legacyIndent="0"/>
      <w:lvlJc w:val="left"/>
    </w:lvl>
    <w:lvl w:ilvl="1" w:tentative="0">
      <w:start w:val="1"/>
      <w:numFmt w:val="decimal"/>
      <w:pStyle w:val="4"/>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pStyle w:val="6"/>
      <w:lvlText w:val="%1.%2.%3.%4"/>
      <w:legacy w:legacy="1" w:legacySpace="144" w:legacyIndent="0"/>
      <w:lvlJc w:val="left"/>
    </w:lvl>
    <w:lvl w:ilvl="4" w:tentative="0">
      <w:start w:val="1"/>
      <w:numFmt w:val="decimal"/>
      <w:pStyle w:val="7"/>
      <w:lvlText w:val="%1.%2.%3.%4.%5"/>
      <w:legacy w:legacy="1" w:legacySpace="144" w:legacyIndent="0"/>
      <w:lvlJc w:val="left"/>
    </w:lvl>
    <w:lvl w:ilvl="5" w:tentative="0">
      <w:start w:val="1"/>
      <w:numFmt w:val="decimal"/>
      <w:pStyle w:val="8"/>
      <w:lvlText w:val="%1.%2.%3.%4.%5.%6"/>
      <w:legacy w:legacy="1" w:legacySpace="144" w:legacyIndent="0"/>
      <w:lvlJc w:val="left"/>
    </w:lvl>
    <w:lvl w:ilvl="6" w:tentative="0">
      <w:start w:val="1"/>
      <w:numFmt w:val="decimal"/>
      <w:pStyle w:val="9"/>
      <w:lvlText w:val="%1.%2.%3.%4.%5.%6.%7"/>
      <w:legacy w:legacy="1" w:legacySpace="144" w:legacyIndent="0"/>
      <w:lvlJc w:val="left"/>
    </w:lvl>
    <w:lvl w:ilvl="7" w:tentative="0">
      <w:start w:val="1"/>
      <w:numFmt w:val="decimal"/>
      <w:pStyle w:val="10"/>
      <w:lvlText w:val="%1.%2.%3.%4.%5.%6.%7.%8"/>
      <w:legacy w:legacy="1" w:legacySpace="144" w:legacyIndent="0"/>
      <w:lvlJc w:val="left"/>
    </w:lvl>
    <w:lvl w:ilvl="8" w:tentative="0">
      <w:start w:val="1"/>
      <w:numFmt w:val="decimal"/>
      <w:pStyle w:val="11"/>
      <w:lvlText w:val="%1.%2.%3.%4.%5.%6.%7.%8.%9"/>
      <w:legacy w:legacy="1" w:legacySpace="144" w:legacyIndent="0"/>
      <w:lvlJc w:val="left"/>
    </w:lvl>
  </w:abstractNum>
  <w:abstractNum w:abstractNumId="2">
    <w:nsid w:val="44D8C1C0"/>
    <w:multiLevelType w:val="singleLevel"/>
    <w:tmpl w:val="44D8C1C0"/>
    <w:lvl w:ilvl="0" w:tentative="0">
      <w:start w:val="1"/>
      <w:numFmt w:val="decimal"/>
      <w:suff w:val="nothing"/>
      <w:lvlText w:val="%1．"/>
      <w:lvlJc w:val="left"/>
      <w:pPr>
        <w:ind w:left="0" w:firstLine="400"/>
      </w:pPr>
      <w:rPr>
        <w:rFonts w:hint="default"/>
      </w:rPr>
    </w:lvl>
  </w:abstractNum>
  <w:abstractNum w:abstractNumId="3">
    <w:nsid w:val="51AB15B2"/>
    <w:multiLevelType w:val="singleLevel"/>
    <w:tmpl w:val="51AB15B2"/>
    <w:lvl w:ilvl="0" w:tentative="0">
      <w:start w:val="5"/>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5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MmVlYTFlMDIxMTJhM2U5YzRmMzRkZTdhYThmNDcifQ=="/>
  </w:docVars>
  <w:rsids>
    <w:rsidRoot w:val="00172A27"/>
    <w:rsid w:val="00017EBD"/>
    <w:rsid w:val="0002042F"/>
    <w:rsid w:val="00027CA4"/>
    <w:rsid w:val="000A51DA"/>
    <w:rsid w:val="000C5CEA"/>
    <w:rsid w:val="000D2A89"/>
    <w:rsid w:val="000D4F67"/>
    <w:rsid w:val="000E5399"/>
    <w:rsid w:val="000E7957"/>
    <w:rsid w:val="000F2F32"/>
    <w:rsid w:val="0010184D"/>
    <w:rsid w:val="00102651"/>
    <w:rsid w:val="001147F2"/>
    <w:rsid w:val="00122E46"/>
    <w:rsid w:val="001267CA"/>
    <w:rsid w:val="00126D76"/>
    <w:rsid w:val="00134906"/>
    <w:rsid w:val="0015012D"/>
    <w:rsid w:val="00154CEB"/>
    <w:rsid w:val="0015533D"/>
    <w:rsid w:val="001565FC"/>
    <w:rsid w:val="00157B2F"/>
    <w:rsid w:val="00165EC4"/>
    <w:rsid w:val="00172A27"/>
    <w:rsid w:val="00176BEB"/>
    <w:rsid w:val="001773A7"/>
    <w:rsid w:val="001906FB"/>
    <w:rsid w:val="001C7DC5"/>
    <w:rsid w:val="001F22B8"/>
    <w:rsid w:val="001F40CA"/>
    <w:rsid w:val="001F6625"/>
    <w:rsid w:val="001F7CCA"/>
    <w:rsid w:val="00200F2A"/>
    <w:rsid w:val="00216C9D"/>
    <w:rsid w:val="00223D94"/>
    <w:rsid w:val="0023397C"/>
    <w:rsid w:val="00236419"/>
    <w:rsid w:val="00241214"/>
    <w:rsid w:val="002454E2"/>
    <w:rsid w:val="00252E8F"/>
    <w:rsid w:val="00254C28"/>
    <w:rsid w:val="00257800"/>
    <w:rsid w:val="0026656D"/>
    <w:rsid w:val="0027000F"/>
    <w:rsid w:val="00284014"/>
    <w:rsid w:val="002C054A"/>
    <w:rsid w:val="002C0771"/>
    <w:rsid w:val="002C20E5"/>
    <w:rsid w:val="002C6D86"/>
    <w:rsid w:val="002D0ABC"/>
    <w:rsid w:val="002D42BC"/>
    <w:rsid w:val="00307AD1"/>
    <w:rsid w:val="003136CE"/>
    <w:rsid w:val="00330D30"/>
    <w:rsid w:val="003340A1"/>
    <w:rsid w:val="003377D7"/>
    <w:rsid w:val="00344A3E"/>
    <w:rsid w:val="00360339"/>
    <w:rsid w:val="00366353"/>
    <w:rsid w:val="0037568C"/>
    <w:rsid w:val="00384F43"/>
    <w:rsid w:val="0039528E"/>
    <w:rsid w:val="003A0831"/>
    <w:rsid w:val="003A53C4"/>
    <w:rsid w:val="003D10C4"/>
    <w:rsid w:val="003D6D73"/>
    <w:rsid w:val="003E0D66"/>
    <w:rsid w:val="00401BDB"/>
    <w:rsid w:val="00403002"/>
    <w:rsid w:val="004336F4"/>
    <w:rsid w:val="00436980"/>
    <w:rsid w:val="0044103D"/>
    <w:rsid w:val="004534BE"/>
    <w:rsid w:val="00465E86"/>
    <w:rsid w:val="00474AD4"/>
    <w:rsid w:val="00475EFD"/>
    <w:rsid w:val="00480F28"/>
    <w:rsid w:val="00484A2F"/>
    <w:rsid w:val="004959F2"/>
    <w:rsid w:val="004A2227"/>
    <w:rsid w:val="004B79EE"/>
    <w:rsid w:val="004C208B"/>
    <w:rsid w:val="004C742D"/>
    <w:rsid w:val="004D485F"/>
    <w:rsid w:val="004D7143"/>
    <w:rsid w:val="004E1CB8"/>
    <w:rsid w:val="004F3EB9"/>
    <w:rsid w:val="00503EFD"/>
    <w:rsid w:val="005067DE"/>
    <w:rsid w:val="00515EC1"/>
    <w:rsid w:val="005274DC"/>
    <w:rsid w:val="00533E3C"/>
    <w:rsid w:val="00543DCB"/>
    <w:rsid w:val="00547F65"/>
    <w:rsid w:val="00555EA3"/>
    <w:rsid w:val="00557717"/>
    <w:rsid w:val="005910B6"/>
    <w:rsid w:val="00596793"/>
    <w:rsid w:val="005A0AE8"/>
    <w:rsid w:val="005B11C2"/>
    <w:rsid w:val="005C2C31"/>
    <w:rsid w:val="005C4CBC"/>
    <w:rsid w:val="005D2E6E"/>
    <w:rsid w:val="005D333B"/>
    <w:rsid w:val="006323E6"/>
    <w:rsid w:val="00640565"/>
    <w:rsid w:val="00650374"/>
    <w:rsid w:val="00650B6B"/>
    <w:rsid w:val="006772B2"/>
    <w:rsid w:val="006841DA"/>
    <w:rsid w:val="0068748A"/>
    <w:rsid w:val="0069092C"/>
    <w:rsid w:val="006913B3"/>
    <w:rsid w:val="00697073"/>
    <w:rsid w:val="006A1FF5"/>
    <w:rsid w:val="006B48CC"/>
    <w:rsid w:val="006B4A5A"/>
    <w:rsid w:val="006B51A1"/>
    <w:rsid w:val="006D4047"/>
    <w:rsid w:val="006F0583"/>
    <w:rsid w:val="006F7599"/>
    <w:rsid w:val="0070613B"/>
    <w:rsid w:val="00710F32"/>
    <w:rsid w:val="007131ED"/>
    <w:rsid w:val="007156B1"/>
    <w:rsid w:val="00725820"/>
    <w:rsid w:val="0073153A"/>
    <w:rsid w:val="00734B6B"/>
    <w:rsid w:val="0074129D"/>
    <w:rsid w:val="00757DF6"/>
    <w:rsid w:val="00766235"/>
    <w:rsid w:val="007667E5"/>
    <w:rsid w:val="00780642"/>
    <w:rsid w:val="007806EA"/>
    <w:rsid w:val="007B1240"/>
    <w:rsid w:val="007C3199"/>
    <w:rsid w:val="007C479D"/>
    <w:rsid w:val="007F3B56"/>
    <w:rsid w:val="007F559A"/>
    <w:rsid w:val="007F7DF2"/>
    <w:rsid w:val="008147ED"/>
    <w:rsid w:val="00815BDC"/>
    <w:rsid w:val="00824633"/>
    <w:rsid w:val="00832E6F"/>
    <w:rsid w:val="00856B91"/>
    <w:rsid w:val="00870139"/>
    <w:rsid w:val="00872532"/>
    <w:rsid w:val="00880802"/>
    <w:rsid w:val="00881F23"/>
    <w:rsid w:val="008870BD"/>
    <w:rsid w:val="008A69BB"/>
    <w:rsid w:val="008A70BC"/>
    <w:rsid w:val="008A78A7"/>
    <w:rsid w:val="008D6FFF"/>
    <w:rsid w:val="008E1F74"/>
    <w:rsid w:val="008E25D0"/>
    <w:rsid w:val="008E39F4"/>
    <w:rsid w:val="008F3E55"/>
    <w:rsid w:val="008F6954"/>
    <w:rsid w:val="00904C09"/>
    <w:rsid w:val="009067DF"/>
    <w:rsid w:val="00922E77"/>
    <w:rsid w:val="00924602"/>
    <w:rsid w:val="00963A12"/>
    <w:rsid w:val="00971A7D"/>
    <w:rsid w:val="00971ABE"/>
    <w:rsid w:val="00973D16"/>
    <w:rsid w:val="0099357E"/>
    <w:rsid w:val="00995233"/>
    <w:rsid w:val="00996D26"/>
    <w:rsid w:val="009A3BE4"/>
    <w:rsid w:val="009B4E87"/>
    <w:rsid w:val="009C510C"/>
    <w:rsid w:val="009F335C"/>
    <w:rsid w:val="009F580A"/>
    <w:rsid w:val="00A20A87"/>
    <w:rsid w:val="00A27A0C"/>
    <w:rsid w:val="00A41347"/>
    <w:rsid w:val="00A43EC8"/>
    <w:rsid w:val="00A600F8"/>
    <w:rsid w:val="00A617B3"/>
    <w:rsid w:val="00A933D0"/>
    <w:rsid w:val="00AA354E"/>
    <w:rsid w:val="00AA368C"/>
    <w:rsid w:val="00AB71F1"/>
    <w:rsid w:val="00AB750B"/>
    <w:rsid w:val="00AC48B2"/>
    <w:rsid w:val="00AD3A1F"/>
    <w:rsid w:val="00AD3A2A"/>
    <w:rsid w:val="00AD47A0"/>
    <w:rsid w:val="00AD52C0"/>
    <w:rsid w:val="00AE3BF9"/>
    <w:rsid w:val="00AF1F07"/>
    <w:rsid w:val="00B024A2"/>
    <w:rsid w:val="00B062FC"/>
    <w:rsid w:val="00B06912"/>
    <w:rsid w:val="00B1235D"/>
    <w:rsid w:val="00B15DF8"/>
    <w:rsid w:val="00B314DD"/>
    <w:rsid w:val="00B31740"/>
    <w:rsid w:val="00B32C66"/>
    <w:rsid w:val="00B6060B"/>
    <w:rsid w:val="00B61FC2"/>
    <w:rsid w:val="00B6703C"/>
    <w:rsid w:val="00B7697E"/>
    <w:rsid w:val="00B81E1C"/>
    <w:rsid w:val="00BA4D82"/>
    <w:rsid w:val="00BA4FCC"/>
    <w:rsid w:val="00BA5005"/>
    <w:rsid w:val="00BC0EF7"/>
    <w:rsid w:val="00BC2EA9"/>
    <w:rsid w:val="00BC3EA5"/>
    <w:rsid w:val="00BC7088"/>
    <w:rsid w:val="00BE780C"/>
    <w:rsid w:val="00BF1131"/>
    <w:rsid w:val="00C04395"/>
    <w:rsid w:val="00C14FD1"/>
    <w:rsid w:val="00C16395"/>
    <w:rsid w:val="00C2278C"/>
    <w:rsid w:val="00C3255D"/>
    <w:rsid w:val="00C55E5C"/>
    <w:rsid w:val="00C61D44"/>
    <w:rsid w:val="00C63847"/>
    <w:rsid w:val="00C67B24"/>
    <w:rsid w:val="00C82BC1"/>
    <w:rsid w:val="00C8728B"/>
    <w:rsid w:val="00CA6455"/>
    <w:rsid w:val="00CB1668"/>
    <w:rsid w:val="00CD07E8"/>
    <w:rsid w:val="00CD1464"/>
    <w:rsid w:val="00CD3BBB"/>
    <w:rsid w:val="00CE4E6B"/>
    <w:rsid w:val="00D0073A"/>
    <w:rsid w:val="00D04BE8"/>
    <w:rsid w:val="00D1509E"/>
    <w:rsid w:val="00D23E1B"/>
    <w:rsid w:val="00D338E6"/>
    <w:rsid w:val="00D36F3F"/>
    <w:rsid w:val="00D514CF"/>
    <w:rsid w:val="00D726EC"/>
    <w:rsid w:val="00D86233"/>
    <w:rsid w:val="00D91DF7"/>
    <w:rsid w:val="00DA6A21"/>
    <w:rsid w:val="00DC630C"/>
    <w:rsid w:val="00DE4A37"/>
    <w:rsid w:val="00DE6119"/>
    <w:rsid w:val="00E0688C"/>
    <w:rsid w:val="00E06CAA"/>
    <w:rsid w:val="00E10BA7"/>
    <w:rsid w:val="00E13F33"/>
    <w:rsid w:val="00E160A4"/>
    <w:rsid w:val="00E23336"/>
    <w:rsid w:val="00E2582E"/>
    <w:rsid w:val="00E34AA3"/>
    <w:rsid w:val="00E37DD2"/>
    <w:rsid w:val="00E5589A"/>
    <w:rsid w:val="00E55DEF"/>
    <w:rsid w:val="00E662EA"/>
    <w:rsid w:val="00E80D45"/>
    <w:rsid w:val="00E81940"/>
    <w:rsid w:val="00E95E97"/>
    <w:rsid w:val="00E96AEA"/>
    <w:rsid w:val="00EA1334"/>
    <w:rsid w:val="00EC3B64"/>
    <w:rsid w:val="00EC69C0"/>
    <w:rsid w:val="00EE6F96"/>
    <w:rsid w:val="00F0271D"/>
    <w:rsid w:val="00F11833"/>
    <w:rsid w:val="00F12F3A"/>
    <w:rsid w:val="00F149F0"/>
    <w:rsid w:val="00F33CBC"/>
    <w:rsid w:val="00F80E3E"/>
    <w:rsid w:val="00F82F2C"/>
    <w:rsid w:val="00F87917"/>
    <w:rsid w:val="00FA6F42"/>
    <w:rsid w:val="00FD4FB9"/>
    <w:rsid w:val="00FE0515"/>
    <w:rsid w:val="014A4A2D"/>
    <w:rsid w:val="017243CE"/>
    <w:rsid w:val="01EF7A10"/>
    <w:rsid w:val="02522DDA"/>
    <w:rsid w:val="029F07E3"/>
    <w:rsid w:val="02A25977"/>
    <w:rsid w:val="033049E7"/>
    <w:rsid w:val="03D44F02"/>
    <w:rsid w:val="03DC25D6"/>
    <w:rsid w:val="03F70F5C"/>
    <w:rsid w:val="04185410"/>
    <w:rsid w:val="04355676"/>
    <w:rsid w:val="05076772"/>
    <w:rsid w:val="05465044"/>
    <w:rsid w:val="05607872"/>
    <w:rsid w:val="05F032A6"/>
    <w:rsid w:val="05FC0D73"/>
    <w:rsid w:val="060D7D87"/>
    <w:rsid w:val="064805E4"/>
    <w:rsid w:val="07F153A8"/>
    <w:rsid w:val="082C6751"/>
    <w:rsid w:val="0A7C0596"/>
    <w:rsid w:val="0A8D2E35"/>
    <w:rsid w:val="0AEE4B00"/>
    <w:rsid w:val="0B0F6458"/>
    <w:rsid w:val="0BB95E9E"/>
    <w:rsid w:val="0C101DEE"/>
    <w:rsid w:val="0C5C5C1B"/>
    <w:rsid w:val="0C652A29"/>
    <w:rsid w:val="0C9300EF"/>
    <w:rsid w:val="0C9515CC"/>
    <w:rsid w:val="0CD31CE6"/>
    <w:rsid w:val="0CD93F73"/>
    <w:rsid w:val="0DA7490C"/>
    <w:rsid w:val="0E535500"/>
    <w:rsid w:val="0EA865C8"/>
    <w:rsid w:val="0EB827B5"/>
    <w:rsid w:val="0F8B640E"/>
    <w:rsid w:val="0FD10A54"/>
    <w:rsid w:val="10685268"/>
    <w:rsid w:val="108C456E"/>
    <w:rsid w:val="10BE491D"/>
    <w:rsid w:val="11A7637D"/>
    <w:rsid w:val="12875E1F"/>
    <w:rsid w:val="129739A4"/>
    <w:rsid w:val="12BE5D6F"/>
    <w:rsid w:val="12C8747C"/>
    <w:rsid w:val="12F834C2"/>
    <w:rsid w:val="139A5ADB"/>
    <w:rsid w:val="13A9773D"/>
    <w:rsid w:val="13E4366C"/>
    <w:rsid w:val="13EE3A98"/>
    <w:rsid w:val="142A19D9"/>
    <w:rsid w:val="14425AE3"/>
    <w:rsid w:val="14845C99"/>
    <w:rsid w:val="150B6287"/>
    <w:rsid w:val="15EA37B8"/>
    <w:rsid w:val="162F5D05"/>
    <w:rsid w:val="16F82816"/>
    <w:rsid w:val="1701054D"/>
    <w:rsid w:val="17490A60"/>
    <w:rsid w:val="17656B71"/>
    <w:rsid w:val="17F91050"/>
    <w:rsid w:val="18455D7E"/>
    <w:rsid w:val="18AE1506"/>
    <w:rsid w:val="197436E6"/>
    <w:rsid w:val="1A270A20"/>
    <w:rsid w:val="1AB16E5D"/>
    <w:rsid w:val="1AF27289"/>
    <w:rsid w:val="1AF54EC5"/>
    <w:rsid w:val="1B115A9B"/>
    <w:rsid w:val="1B890D95"/>
    <w:rsid w:val="1B9C16A7"/>
    <w:rsid w:val="1BC61DF0"/>
    <w:rsid w:val="1C1F1D32"/>
    <w:rsid w:val="1CCE2DCF"/>
    <w:rsid w:val="1D2B3169"/>
    <w:rsid w:val="1DB4564C"/>
    <w:rsid w:val="1F4B1C07"/>
    <w:rsid w:val="1FB162FB"/>
    <w:rsid w:val="1FBE6728"/>
    <w:rsid w:val="1FEB52DC"/>
    <w:rsid w:val="20F6281F"/>
    <w:rsid w:val="21020AAE"/>
    <w:rsid w:val="21696CD5"/>
    <w:rsid w:val="217B0BD5"/>
    <w:rsid w:val="21B022F3"/>
    <w:rsid w:val="21E019A2"/>
    <w:rsid w:val="2202285E"/>
    <w:rsid w:val="22334741"/>
    <w:rsid w:val="226A0522"/>
    <w:rsid w:val="22E94C30"/>
    <w:rsid w:val="23156D0D"/>
    <w:rsid w:val="239124AF"/>
    <w:rsid w:val="23D6160A"/>
    <w:rsid w:val="24177D23"/>
    <w:rsid w:val="254734B9"/>
    <w:rsid w:val="258431A0"/>
    <w:rsid w:val="25E4097C"/>
    <w:rsid w:val="260B5B34"/>
    <w:rsid w:val="27875F93"/>
    <w:rsid w:val="27A62E04"/>
    <w:rsid w:val="27EC7421"/>
    <w:rsid w:val="28825D82"/>
    <w:rsid w:val="28C06A10"/>
    <w:rsid w:val="28FD20A1"/>
    <w:rsid w:val="29117406"/>
    <w:rsid w:val="29264589"/>
    <w:rsid w:val="2A37353C"/>
    <w:rsid w:val="2A5A6324"/>
    <w:rsid w:val="2A5C220C"/>
    <w:rsid w:val="2A927428"/>
    <w:rsid w:val="2A9B389B"/>
    <w:rsid w:val="2B00573E"/>
    <w:rsid w:val="2B191406"/>
    <w:rsid w:val="2B3B3E5C"/>
    <w:rsid w:val="2B4471D2"/>
    <w:rsid w:val="2BD611C5"/>
    <w:rsid w:val="2BE1557D"/>
    <w:rsid w:val="2C2C3C6D"/>
    <w:rsid w:val="2C4555B0"/>
    <w:rsid w:val="2C706231"/>
    <w:rsid w:val="2CAA6EF9"/>
    <w:rsid w:val="2CE25739"/>
    <w:rsid w:val="2D1C2408"/>
    <w:rsid w:val="2EC8511F"/>
    <w:rsid w:val="2F445EBF"/>
    <w:rsid w:val="2F6C2FC8"/>
    <w:rsid w:val="2FB703D5"/>
    <w:rsid w:val="30A62782"/>
    <w:rsid w:val="31080B80"/>
    <w:rsid w:val="313C3330"/>
    <w:rsid w:val="31B91DFE"/>
    <w:rsid w:val="31BA1242"/>
    <w:rsid w:val="32734CDA"/>
    <w:rsid w:val="32AA096D"/>
    <w:rsid w:val="32C92E74"/>
    <w:rsid w:val="32EF711E"/>
    <w:rsid w:val="34A174E3"/>
    <w:rsid w:val="34A73AC3"/>
    <w:rsid w:val="34B2483F"/>
    <w:rsid w:val="34CA1AAC"/>
    <w:rsid w:val="35AD22EE"/>
    <w:rsid w:val="35D63A01"/>
    <w:rsid w:val="35F22EC7"/>
    <w:rsid w:val="36287B40"/>
    <w:rsid w:val="36722376"/>
    <w:rsid w:val="369E2CA4"/>
    <w:rsid w:val="384B7F38"/>
    <w:rsid w:val="38A103C7"/>
    <w:rsid w:val="38B645FE"/>
    <w:rsid w:val="390D04A7"/>
    <w:rsid w:val="39167469"/>
    <w:rsid w:val="39846EB5"/>
    <w:rsid w:val="3A1C30A2"/>
    <w:rsid w:val="3A5F7E54"/>
    <w:rsid w:val="3A7F1367"/>
    <w:rsid w:val="3AA957C1"/>
    <w:rsid w:val="3AE666E9"/>
    <w:rsid w:val="3B004C1E"/>
    <w:rsid w:val="3B16501D"/>
    <w:rsid w:val="3B7F02C8"/>
    <w:rsid w:val="3BC14218"/>
    <w:rsid w:val="3C320F88"/>
    <w:rsid w:val="3C8B54D4"/>
    <w:rsid w:val="3CBB6CEC"/>
    <w:rsid w:val="3CFF7CFC"/>
    <w:rsid w:val="3D2A34E3"/>
    <w:rsid w:val="3DDA564B"/>
    <w:rsid w:val="3DF204AF"/>
    <w:rsid w:val="3E4A47E2"/>
    <w:rsid w:val="3E6E19CE"/>
    <w:rsid w:val="3F384E87"/>
    <w:rsid w:val="3F5717A3"/>
    <w:rsid w:val="3F7E240E"/>
    <w:rsid w:val="3F857F41"/>
    <w:rsid w:val="3FA07895"/>
    <w:rsid w:val="3FD073C3"/>
    <w:rsid w:val="3FF158E8"/>
    <w:rsid w:val="3FFE1500"/>
    <w:rsid w:val="4030510C"/>
    <w:rsid w:val="40955978"/>
    <w:rsid w:val="40A318CD"/>
    <w:rsid w:val="40C764BB"/>
    <w:rsid w:val="4128539F"/>
    <w:rsid w:val="412C0F24"/>
    <w:rsid w:val="413A7300"/>
    <w:rsid w:val="41537F42"/>
    <w:rsid w:val="41A85454"/>
    <w:rsid w:val="42ED442C"/>
    <w:rsid w:val="44097BC4"/>
    <w:rsid w:val="443F6DE0"/>
    <w:rsid w:val="44655746"/>
    <w:rsid w:val="446D2B52"/>
    <w:rsid w:val="45CE05BD"/>
    <w:rsid w:val="46E00C2E"/>
    <w:rsid w:val="478761BB"/>
    <w:rsid w:val="478E6C7A"/>
    <w:rsid w:val="47B2292F"/>
    <w:rsid w:val="47D93B3C"/>
    <w:rsid w:val="4880677A"/>
    <w:rsid w:val="48D26198"/>
    <w:rsid w:val="498C0BEF"/>
    <w:rsid w:val="49930615"/>
    <w:rsid w:val="4A1B3B3E"/>
    <w:rsid w:val="4A332248"/>
    <w:rsid w:val="4AF97F58"/>
    <w:rsid w:val="4B243A7C"/>
    <w:rsid w:val="4BAF000C"/>
    <w:rsid w:val="4BCA42A9"/>
    <w:rsid w:val="4D251A50"/>
    <w:rsid w:val="4D2547BD"/>
    <w:rsid w:val="4D4848D2"/>
    <w:rsid w:val="4DA90454"/>
    <w:rsid w:val="4DF4722D"/>
    <w:rsid w:val="4DF5293D"/>
    <w:rsid w:val="4E4C234E"/>
    <w:rsid w:val="4E9352CC"/>
    <w:rsid w:val="4EC23A47"/>
    <w:rsid w:val="4F296E08"/>
    <w:rsid w:val="513B55D2"/>
    <w:rsid w:val="518E1BC9"/>
    <w:rsid w:val="51F36FA4"/>
    <w:rsid w:val="52FE0925"/>
    <w:rsid w:val="532B3537"/>
    <w:rsid w:val="53F95903"/>
    <w:rsid w:val="54232E1C"/>
    <w:rsid w:val="546064F4"/>
    <w:rsid w:val="558A04B5"/>
    <w:rsid w:val="559847A7"/>
    <w:rsid w:val="55C65CA9"/>
    <w:rsid w:val="578D66A3"/>
    <w:rsid w:val="5892543E"/>
    <w:rsid w:val="596B5C8A"/>
    <w:rsid w:val="59DF49A8"/>
    <w:rsid w:val="5A147548"/>
    <w:rsid w:val="5A57086D"/>
    <w:rsid w:val="5B1750A2"/>
    <w:rsid w:val="5BB13763"/>
    <w:rsid w:val="5BBB7C6F"/>
    <w:rsid w:val="5BC556A0"/>
    <w:rsid w:val="5CC92C57"/>
    <w:rsid w:val="5CFA2119"/>
    <w:rsid w:val="5E8659FA"/>
    <w:rsid w:val="5F630612"/>
    <w:rsid w:val="5F8151AC"/>
    <w:rsid w:val="5FDF56B4"/>
    <w:rsid w:val="60213628"/>
    <w:rsid w:val="60787F3E"/>
    <w:rsid w:val="611A5F60"/>
    <w:rsid w:val="6161328A"/>
    <w:rsid w:val="61B73292"/>
    <w:rsid w:val="61D624B7"/>
    <w:rsid w:val="61ED26FE"/>
    <w:rsid w:val="622E2A14"/>
    <w:rsid w:val="628576E4"/>
    <w:rsid w:val="62A328E3"/>
    <w:rsid w:val="630F1F44"/>
    <w:rsid w:val="63421168"/>
    <w:rsid w:val="63562759"/>
    <w:rsid w:val="64BF66E2"/>
    <w:rsid w:val="65677916"/>
    <w:rsid w:val="657672E0"/>
    <w:rsid w:val="65DB7743"/>
    <w:rsid w:val="66D70D5B"/>
    <w:rsid w:val="66FB54F5"/>
    <w:rsid w:val="67E870C3"/>
    <w:rsid w:val="692533BE"/>
    <w:rsid w:val="69275A8F"/>
    <w:rsid w:val="69371410"/>
    <w:rsid w:val="695423D4"/>
    <w:rsid w:val="69816A10"/>
    <w:rsid w:val="6B283EDA"/>
    <w:rsid w:val="6BF921B6"/>
    <w:rsid w:val="6C713438"/>
    <w:rsid w:val="6CA07737"/>
    <w:rsid w:val="6CAF3ECE"/>
    <w:rsid w:val="6D7210A0"/>
    <w:rsid w:val="6DBB34AE"/>
    <w:rsid w:val="6E2853DB"/>
    <w:rsid w:val="6EFB5628"/>
    <w:rsid w:val="703E2E91"/>
    <w:rsid w:val="70506E0C"/>
    <w:rsid w:val="707C50BB"/>
    <w:rsid w:val="70DB7D4E"/>
    <w:rsid w:val="71290B9B"/>
    <w:rsid w:val="71D758D4"/>
    <w:rsid w:val="71FC07F6"/>
    <w:rsid w:val="723D436F"/>
    <w:rsid w:val="72DD256D"/>
    <w:rsid w:val="72F84160"/>
    <w:rsid w:val="736517D5"/>
    <w:rsid w:val="73805238"/>
    <w:rsid w:val="742B0C4F"/>
    <w:rsid w:val="743E1BC2"/>
    <w:rsid w:val="74B3365A"/>
    <w:rsid w:val="74FF3704"/>
    <w:rsid w:val="76486FD9"/>
    <w:rsid w:val="767F2212"/>
    <w:rsid w:val="77471A9E"/>
    <w:rsid w:val="776D786E"/>
    <w:rsid w:val="780005CD"/>
    <w:rsid w:val="783B448C"/>
    <w:rsid w:val="78812DF2"/>
    <w:rsid w:val="78D82A1C"/>
    <w:rsid w:val="795934A7"/>
    <w:rsid w:val="796835B3"/>
    <w:rsid w:val="79695195"/>
    <w:rsid w:val="796C29FA"/>
    <w:rsid w:val="798A004F"/>
    <w:rsid w:val="7A0474BE"/>
    <w:rsid w:val="7A7F687E"/>
    <w:rsid w:val="7A9D5DDD"/>
    <w:rsid w:val="7AD43C6C"/>
    <w:rsid w:val="7AFA7E15"/>
    <w:rsid w:val="7B1B4DD2"/>
    <w:rsid w:val="7CC36AA1"/>
    <w:rsid w:val="7DD05060"/>
    <w:rsid w:val="7DEF21A6"/>
    <w:rsid w:val="7E01350B"/>
    <w:rsid w:val="7E061D56"/>
    <w:rsid w:val="7E24703F"/>
    <w:rsid w:val="7E6210BC"/>
    <w:rsid w:val="7E641F99"/>
    <w:rsid w:val="7F551A99"/>
    <w:rsid w:val="7F7036AF"/>
    <w:rsid w:val="7F904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keepNext/>
      <w:widowControl/>
      <w:numPr>
        <w:ilvl w:val="0"/>
        <w:numId w:val="1"/>
      </w:numPr>
      <w:spacing w:before="240" w:after="120"/>
      <w:jc w:val="left"/>
      <w:outlineLvl w:val="0"/>
    </w:pPr>
    <w:rPr>
      <w:b/>
      <w:caps/>
      <w:kern w:val="28"/>
      <w:sz w:val="24"/>
      <w:szCs w:val="20"/>
    </w:rPr>
  </w:style>
  <w:style w:type="paragraph" w:styleId="4">
    <w:name w:val="heading 2"/>
    <w:basedOn w:val="1"/>
    <w:next w:val="3"/>
    <w:qFormat/>
    <w:uiPriority w:val="0"/>
    <w:pPr>
      <w:keepNext/>
      <w:widowControl/>
      <w:numPr>
        <w:ilvl w:val="1"/>
        <w:numId w:val="1"/>
      </w:numPr>
      <w:spacing w:before="240" w:after="120"/>
      <w:jc w:val="left"/>
      <w:outlineLvl w:val="1"/>
    </w:pPr>
    <w:rPr>
      <w:rFonts w:eastAsia="UWPFSJ (GB)"/>
      <w:caps/>
      <w:kern w:val="0"/>
      <w:sz w:val="24"/>
      <w:szCs w:val="20"/>
    </w:rPr>
  </w:style>
  <w:style w:type="paragraph" w:styleId="5">
    <w:name w:val="heading 3"/>
    <w:basedOn w:val="1"/>
    <w:next w:val="1"/>
    <w:qFormat/>
    <w:uiPriority w:val="9"/>
    <w:pPr>
      <w:keepNext/>
      <w:keepLines/>
      <w:spacing w:line="413" w:lineRule="auto"/>
      <w:outlineLvl w:val="2"/>
    </w:pPr>
    <w:rPr>
      <w:b/>
      <w:sz w:val="32"/>
    </w:rPr>
  </w:style>
  <w:style w:type="paragraph" w:styleId="6">
    <w:name w:val="heading 4"/>
    <w:basedOn w:val="1"/>
    <w:next w:val="1"/>
    <w:qFormat/>
    <w:uiPriority w:val="0"/>
    <w:pPr>
      <w:keepNext/>
      <w:widowControl/>
      <w:numPr>
        <w:ilvl w:val="3"/>
        <w:numId w:val="1"/>
      </w:numPr>
      <w:jc w:val="left"/>
      <w:outlineLvl w:val="3"/>
    </w:pPr>
    <w:rPr>
      <w:kern w:val="0"/>
      <w:sz w:val="24"/>
      <w:szCs w:val="20"/>
    </w:rPr>
  </w:style>
  <w:style w:type="paragraph" w:styleId="7">
    <w:name w:val="heading 5"/>
    <w:basedOn w:val="1"/>
    <w:next w:val="1"/>
    <w:qFormat/>
    <w:uiPriority w:val="0"/>
    <w:pPr>
      <w:keepNext/>
      <w:widowControl/>
      <w:numPr>
        <w:ilvl w:val="4"/>
        <w:numId w:val="1"/>
      </w:numPr>
      <w:jc w:val="left"/>
      <w:outlineLvl w:val="4"/>
    </w:pPr>
    <w:rPr>
      <w:i/>
      <w:kern w:val="0"/>
      <w:sz w:val="24"/>
      <w:szCs w:val="20"/>
    </w:rPr>
  </w:style>
  <w:style w:type="paragraph" w:styleId="8">
    <w:name w:val="heading 6"/>
    <w:basedOn w:val="1"/>
    <w:next w:val="1"/>
    <w:qFormat/>
    <w:uiPriority w:val="0"/>
    <w:pPr>
      <w:widowControl/>
      <w:numPr>
        <w:ilvl w:val="5"/>
        <w:numId w:val="1"/>
      </w:numPr>
      <w:jc w:val="left"/>
      <w:outlineLvl w:val="5"/>
    </w:pPr>
    <w:rPr>
      <w:rFonts w:ascii="Arial" w:hAnsi="Arial"/>
      <w:i/>
      <w:kern w:val="0"/>
      <w:sz w:val="22"/>
      <w:szCs w:val="20"/>
    </w:rPr>
  </w:style>
  <w:style w:type="paragraph" w:styleId="9">
    <w:name w:val="heading 7"/>
    <w:basedOn w:val="1"/>
    <w:next w:val="1"/>
    <w:qFormat/>
    <w:uiPriority w:val="0"/>
    <w:pPr>
      <w:widowControl/>
      <w:numPr>
        <w:ilvl w:val="6"/>
        <w:numId w:val="1"/>
      </w:numPr>
      <w:jc w:val="left"/>
      <w:outlineLvl w:val="6"/>
    </w:pPr>
    <w:rPr>
      <w:rFonts w:ascii="Arial" w:hAnsi="Arial"/>
      <w:kern w:val="0"/>
      <w:sz w:val="24"/>
      <w:szCs w:val="20"/>
    </w:rPr>
  </w:style>
  <w:style w:type="paragraph" w:styleId="10">
    <w:name w:val="heading 8"/>
    <w:basedOn w:val="1"/>
    <w:next w:val="1"/>
    <w:qFormat/>
    <w:uiPriority w:val="0"/>
    <w:pPr>
      <w:widowControl/>
      <w:numPr>
        <w:ilvl w:val="7"/>
        <w:numId w:val="1"/>
      </w:numPr>
      <w:jc w:val="left"/>
      <w:outlineLvl w:val="7"/>
    </w:pPr>
    <w:rPr>
      <w:rFonts w:ascii="Arial" w:hAnsi="Arial"/>
      <w:i/>
      <w:kern w:val="0"/>
      <w:sz w:val="24"/>
      <w:szCs w:val="20"/>
    </w:rPr>
  </w:style>
  <w:style w:type="paragraph" w:styleId="11">
    <w:name w:val="heading 9"/>
    <w:basedOn w:val="1"/>
    <w:next w:val="1"/>
    <w:qFormat/>
    <w:uiPriority w:val="0"/>
    <w:pPr>
      <w:widowControl/>
      <w:numPr>
        <w:ilvl w:val="8"/>
        <w:numId w:val="1"/>
      </w:numPr>
      <w:jc w:val="left"/>
      <w:outlineLvl w:val="8"/>
    </w:pPr>
    <w:rPr>
      <w:rFonts w:ascii="Arial" w:hAnsi="Arial"/>
      <w:i/>
      <w:kern w:val="0"/>
      <w:sz w:val="18"/>
      <w:szCs w:val="20"/>
    </w:rPr>
  </w:style>
  <w:style w:type="character" w:default="1" w:styleId="27">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0"/>
    <w:rPr>
      <w:rFonts w:ascii="仿宋_GB2312" w:eastAsia="仿宋_GB2312"/>
      <w:sz w:val="28"/>
    </w:rPr>
  </w:style>
  <w:style w:type="paragraph" w:styleId="12">
    <w:name w:val="Document Map"/>
    <w:basedOn w:val="1"/>
    <w:qFormat/>
    <w:uiPriority w:val="0"/>
    <w:pPr>
      <w:shd w:val="clear" w:color="auto" w:fill="000080"/>
    </w:pPr>
  </w:style>
  <w:style w:type="paragraph" w:styleId="13">
    <w:name w:val="annotation text"/>
    <w:basedOn w:val="1"/>
    <w:qFormat/>
    <w:uiPriority w:val="0"/>
    <w:pPr>
      <w:jc w:val="left"/>
    </w:pPr>
  </w:style>
  <w:style w:type="paragraph" w:styleId="14">
    <w:name w:val="Body Text Indent"/>
    <w:basedOn w:val="1"/>
    <w:qFormat/>
    <w:uiPriority w:val="0"/>
    <w:pPr>
      <w:tabs>
        <w:tab w:val="left" w:pos="0"/>
      </w:tabs>
      <w:snapToGrid w:val="0"/>
      <w:spacing w:line="360" w:lineRule="auto"/>
      <w:ind w:firstLine="524" w:firstLineChars="187"/>
    </w:pPr>
    <w:rPr>
      <w:rFonts w:ascii="宋体" w:hAnsi="宋体"/>
      <w:sz w:val="28"/>
    </w:rPr>
  </w:style>
  <w:style w:type="paragraph" w:styleId="15">
    <w:name w:val="Plain Text"/>
    <w:basedOn w:val="1"/>
    <w:qFormat/>
    <w:uiPriority w:val="0"/>
    <w:rPr>
      <w:rFonts w:ascii="宋体" w:hAnsi="Courier New" w:cs="Courier New"/>
      <w:szCs w:val="21"/>
    </w:rPr>
  </w:style>
  <w:style w:type="paragraph" w:styleId="16">
    <w:name w:val="Date"/>
    <w:basedOn w:val="1"/>
    <w:next w:val="1"/>
    <w:qFormat/>
    <w:uiPriority w:val="0"/>
    <w:pPr>
      <w:ind w:left="100" w:leftChars="2500"/>
    </w:pPr>
    <w:rPr>
      <w:rFonts w:ascii="宋体" w:hAnsi="华文宋体"/>
      <w:sz w:val="28"/>
    </w:rPr>
  </w:style>
  <w:style w:type="paragraph" w:styleId="17">
    <w:name w:val="Body Text Indent 2"/>
    <w:basedOn w:val="1"/>
    <w:qFormat/>
    <w:uiPriority w:val="0"/>
    <w:pPr>
      <w:ind w:firstLine="538" w:firstLineChars="192"/>
    </w:pPr>
    <w:rPr>
      <w:sz w:val="28"/>
    </w:rPr>
  </w:style>
  <w:style w:type="paragraph" w:styleId="18">
    <w:name w:val="Balloon Text"/>
    <w:basedOn w:val="1"/>
    <w:qFormat/>
    <w:uiPriority w:val="0"/>
    <w:rPr>
      <w:sz w:val="18"/>
      <w:szCs w:val="18"/>
    </w:rPr>
  </w:style>
  <w:style w:type="paragraph" w:styleId="19">
    <w:name w:val="footer"/>
    <w:basedOn w:val="1"/>
    <w:link w:val="88"/>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Body Text Indent 3"/>
    <w:basedOn w:val="1"/>
    <w:qFormat/>
    <w:uiPriority w:val="0"/>
    <w:pPr>
      <w:ind w:firstLine="640" w:firstLineChars="200"/>
    </w:pPr>
    <w:rPr>
      <w:rFonts w:ascii="宋体" w:hAnsi="宋体"/>
      <w:sz w:val="32"/>
    </w:rPr>
  </w:style>
  <w:style w:type="paragraph" w:styleId="22">
    <w:name w:val="Normal (Web)"/>
    <w:basedOn w:val="1"/>
    <w:unhideWhenUsed/>
    <w:qFormat/>
    <w:uiPriority w:val="99"/>
    <w:pPr>
      <w:spacing w:before="100" w:beforeAutospacing="1" w:after="100" w:afterAutospacing="1"/>
      <w:jc w:val="left"/>
    </w:pPr>
    <w:rPr>
      <w:kern w:val="0"/>
      <w:sz w:val="24"/>
    </w:rPr>
  </w:style>
  <w:style w:type="paragraph" w:styleId="23">
    <w:name w:val="annotation subject"/>
    <w:basedOn w:val="13"/>
    <w:next w:val="13"/>
    <w:qFormat/>
    <w:uiPriority w:val="0"/>
    <w:rPr>
      <w:b/>
      <w:bCs/>
    </w:rPr>
  </w:style>
  <w:style w:type="paragraph" w:styleId="24">
    <w:name w:val="Body Text First Indent"/>
    <w:basedOn w:val="3"/>
    <w:link w:val="85"/>
    <w:qFormat/>
    <w:uiPriority w:val="0"/>
    <w:pPr>
      <w:ind w:firstLine="420" w:firstLineChars="100"/>
    </w:pPr>
    <w:rPr>
      <w:rFonts w:ascii="Times New Roman" w:eastAsia="宋体"/>
      <w:sz w:val="21"/>
    </w:rPr>
  </w:style>
  <w:style w:type="table" w:styleId="26">
    <w:name w:val="Table Grid"/>
    <w:basedOn w:val="2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qFormat/>
    <w:uiPriority w:val="0"/>
    <w:rPr>
      <w:color w:val="800080"/>
      <w:u w:val="single"/>
    </w:rPr>
  </w:style>
  <w:style w:type="character" w:styleId="30">
    <w:name w:val="Hyperlink"/>
    <w:qFormat/>
    <w:uiPriority w:val="0"/>
    <w:rPr>
      <w:color w:val="0000FF"/>
      <w:u w:val="single"/>
    </w:rPr>
  </w:style>
  <w:style w:type="character" w:styleId="31">
    <w:name w:val="annotation reference"/>
    <w:qFormat/>
    <w:uiPriority w:val="0"/>
    <w:rPr>
      <w:sz w:val="21"/>
      <w:szCs w:val="21"/>
    </w:rPr>
  </w:style>
  <w:style w:type="paragraph" w:customStyle="1" w:styleId="32">
    <w:name w:val="xl79"/>
    <w:basedOn w:val="1"/>
    <w:qFormat/>
    <w:uiPriority w:val="0"/>
    <w:pPr>
      <w:widowControl/>
      <w:spacing w:beforeAutospacing="1" w:afterAutospacing="1"/>
      <w:jc w:val="left"/>
    </w:pPr>
    <w:rPr>
      <w:rFonts w:ascii="宋体" w:hAnsi="宋体" w:cs="宋体"/>
      <w:kern w:val="0"/>
      <w:sz w:val="24"/>
    </w:rPr>
  </w:style>
  <w:style w:type="paragraph" w:customStyle="1" w:styleId="33">
    <w:name w:val="xl43"/>
    <w:basedOn w:val="1"/>
    <w:qFormat/>
    <w:uiPriority w:val="0"/>
    <w:pPr>
      <w:widowControl/>
      <w:shd w:val="clear" w:color="FFFFFF" w:fill="FFFFFF"/>
      <w:spacing w:beforeAutospacing="1" w:afterAutospacing="1"/>
      <w:jc w:val="left"/>
      <w:textAlignment w:val="center"/>
    </w:pPr>
    <w:rPr>
      <w:rFonts w:ascii="宋体" w:hAnsi="宋体" w:cs="宋体"/>
      <w:color w:val="000000"/>
      <w:kern w:val="0"/>
      <w:sz w:val="24"/>
    </w:rPr>
  </w:style>
  <w:style w:type="paragraph" w:customStyle="1" w:styleId="34">
    <w:name w:val="xl84"/>
    <w:basedOn w:val="1"/>
    <w:qFormat/>
    <w:uiPriority w:val="0"/>
    <w:pPr>
      <w:widowControl/>
      <w:shd w:val="clear" w:color="FFFFFF" w:fill="FFFFFF"/>
      <w:spacing w:beforeAutospacing="1" w:afterAutospacing="1"/>
      <w:jc w:val="center"/>
      <w:textAlignment w:val="center"/>
    </w:pPr>
    <w:rPr>
      <w:rFonts w:ascii="宋体" w:hAnsi="宋体" w:cs="宋体"/>
      <w:color w:val="000000"/>
      <w:kern w:val="0"/>
      <w:sz w:val="24"/>
      <w:u w:val="single"/>
    </w:rPr>
  </w:style>
  <w:style w:type="paragraph" w:customStyle="1" w:styleId="35">
    <w:name w:val="xl23"/>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36">
    <w:name w:val="xl70"/>
    <w:basedOn w:val="1"/>
    <w:qFormat/>
    <w:uiPriority w:val="0"/>
    <w:pPr>
      <w:widowControl/>
      <w:spacing w:beforeAutospacing="1" w:afterAutospacing="1"/>
      <w:jc w:val="center"/>
    </w:pPr>
    <w:rPr>
      <w:rFonts w:ascii="宋体" w:hAnsi="宋体" w:cs="宋体"/>
      <w:kern w:val="0"/>
      <w:sz w:val="24"/>
    </w:rPr>
  </w:style>
  <w:style w:type="paragraph" w:customStyle="1" w:styleId="37">
    <w:name w:val="font5"/>
    <w:basedOn w:val="1"/>
    <w:qFormat/>
    <w:uiPriority w:val="0"/>
    <w:pPr>
      <w:widowControl/>
      <w:spacing w:beforeAutospacing="1" w:afterAutospacing="1"/>
      <w:jc w:val="left"/>
    </w:pPr>
    <w:rPr>
      <w:rFonts w:hint="eastAsia" w:ascii="宋体" w:hAnsi="宋体"/>
      <w:kern w:val="0"/>
      <w:sz w:val="18"/>
      <w:szCs w:val="18"/>
    </w:rPr>
  </w:style>
  <w:style w:type="paragraph" w:customStyle="1" w:styleId="38">
    <w:name w:val="xl22"/>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39">
    <w:name w:val="xl83"/>
    <w:basedOn w:val="1"/>
    <w:qFormat/>
    <w:uiPriority w:val="0"/>
    <w:pPr>
      <w:widowControl/>
      <w:shd w:val="clear" w:color="FFFFFF" w:fill="FFFFFF"/>
      <w:spacing w:beforeAutospacing="1" w:afterAutospacing="1"/>
      <w:jc w:val="left"/>
      <w:textAlignment w:val="center"/>
    </w:pPr>
    <w:rPr>
      <w:rFonts w:ascii="宋体" w:hAnsi="宋体" w:cs="宋体"/>
      <w:color w:val="000000"/>
      <w:kern w:val="0"/>
      <w:sz w:val="24"/>
      <w:u w:val="single"/>
    </w:rPr>
  </w:style>
  <w:style w:type="paragraph" w:customStyle="1" w:styleId="40">
    <w:name w:val="xl28"/>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hint="eastAsia" w:ascii="仿宋_GB2312" w:hAnsi="Arial Unicode MS" w:eastAsia="仿宋_GB2312"/>
      <w:kern w:val="0"/>
      <w:sz w:val="24"/>
    </w:rPr>
  </w:style>
  <w:style w:type="paragraph" w:customStyle="1" w:styleId="41">
    <w:name w:val="xl67"/>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42">
    <w:name w:val="xl68"/>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Autospacing="1" w:afterAutospacing="1"/>
      <w:jc w:val="right"/>
      <w:textAlignment w:val="center"/>
    </w:pPr>
    <w:rPr>
      <w:rFonts w:ascii="宋体" w:hAnsi="宋体" w:cs="宋体"/>
      <w:color w:val="000000"/>
      <w:kern w:val="0"/>
      <w:sz w:val="24"/>
    </w:rPr>
  </w:style>
  <w:style w:type="paragraph" w:customStyle="1" w:styleId="43">
    <w:name w:val="xl30"/>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hint="eastAsia" w:ascii="仿宋_GB2312" w:hAnsi="Arial Unicode MS" w:eastAsia="仿宋_GB2312"/>
      <w:kern w:val="0"/>
      <w:sz w:val="24"/>
    </w:rPr>
  </w:style>
  <w:style w:type="paragraph" w:customStyle="1" w:styleId="44">
    <w:name w:val="xl75"/>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cs="宋体"/>
      <w:kern w:val="0"/>
      <w:sz w:val="18"/>
      <w:szCs w:val="18"/>
    </w:rPr>
  </w:style>
  <w:style w:type="paragraph" w:customStyle="1" w:styleId="45">
    <w:name w:val="xl72"/>
    <w:basedOn w:val="1"/>
    <w:qFormat/>
    <w:uiPriority w:val="0"/>
    <w:pPr>
      <w:widowControl/>
      <w:spacing w:beforeAutospacing="1" w:afterAutospacing="1"/>
      <w:jc w:val="left"/>
    </w:pPr>
    <w:rPr>
      <w:rFonts w:ascii="宋体" w:hAnsi="宋体" w:cs="宋体"/>
      <w:kern w:val="0"/>
      <w:sz w:val="24"/>
    </w:rPr>
  </w:style>
  <w:style w:type="paragraph" w:customStyle="1" w:styleId="46">
    <w:name w:val="xl3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pPr>
    <w:rPr>
      <w:rFonts w:hint="eastAsia" w:ascii="仿宋_GB2312" w:hAnsi="Arial Unicode MS" w:eastAsia="仿宋_GB2312"/>
      <w:kern w:val="0"/>
      <w:sz w:val="24"/>
    </w:rPr>
  </w:style>
  <w:style w:type="paragraph" w:customStyle="1" w:styleId="4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8">
    <w:name w:val="Char2 Char Char Char Char Char Char"/>
    <w:basedOn w:val="1"/>
    <w:qFormat/>
    <w:uiPriority w:val="0"/>
    <w:pPr>
      <w:adjustRightInd w:val="0"/>
      <w:spacing w:line="360" w:lineRule="auto"/>
    </w:pPr>
    <w:rPr>
      <w:kern w:val="0"/>
      <w:sz w:val="24"/>
      <w:szCs w:val="20"/>
    </w:rPr>
  </w:style>
  <w:style w:type="paragraph" w:customStyle="1" w:styleId="49">
    <w:name w:val="xl41"/>
    <w:basedOn w:val="1"/>
    <w:qFormat/>
    <w:uiPriority w:val="0"/>
    <w:pPr>
      <w:widowControl/>
      <w:shd w:val="clear" w:color="FFFFFF" w:fill="FFFFFF"/>
      <w:spacing w:beforeAutospacing="1" w:afterAutospacing="1"/>
      <w:jc w:val="left"/>
      <w:textAlignment w:val="center"/>
    </w:pPr>
    <w:rPr>
      <w:rFonts w:ascii="宋体" w:hAnsi="宋体" w:cs="宋体"/>
      <w:color w:val="000000"/>
      <w:kern w:val="0"/>
      <w:sz w:val="24"/>
    </w:rPr>
  </w:style>
  <w:style w:type="paragraph" w:customStyle="1" w:styleId="50">
    <w:name w:val="xl40"/>
    <w:basedOn w:val="1"/>
    <w:qFormat/>
    <w:uiPriority w:val="0"/>
    <w:pPr>
      <w:widowControl/>
      <w:shd w:val="clear" w:color="FFFFFF" w:fill="FFFFFF"/>
      <w:spacing w:beforeAutospacing="1" w:afterAutospacing="1"/>
      <w:jc w:val="center"/>
      <w:textAlignment w:val="center"/>
    </w:pPr>
    <w:rPr>
      <w:rFonts w:ascii="宋体" w:hAnsi="宋体" w:cs="宋体"/>
      <w:b/>
      <w:bCs/>
      <w:color w:val="000000"/>
      <w:kern w:val="0"/>
      <w:sz w:val="40"/>
      <w:szCs w:val="40"/>
    </w:rPr>
  </w:style>
  <w:style w:type="paragraph" w:customStyle="1" w:styleId="51">
    <w:name w:val="xl77"/>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pPr>
    <w:rPr>
      <w:rFonts w:ascii="宋体" w:hAnsi="宋体" w:cs="宋体"/>
      <w:kern w:val="0"/>
      <w:sz w:val="18"/>
      <w:szCs w:val="18"/>
    </w:rPr>
  </w:style>
  <w:style w:type="paragraph" w:customStyle="1" w:styleId="52">
    <w:name w:val="xl80"/>
    <w:basedOn w:val="1"/>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53">
    <w:name w:val="xl63"/>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54">
    <w:name w:val="xl29"/>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textAlignment w:val="center"/>
    </w:pPr>
    <w:rPr>
      <w:rFonts w:hint="eastAsia" w:ascii="仿宋_GB2312" w:hAnsi="Arial Unicode MS" w:eastAsia="仿宋_GB2312"/>
      <w:kern w:val="0"/>
      <w:sz w:val="24"/>
    </w:rPr>
  </w:style>
  <w:style w:type="paragraph" w:customStyle="1" w:styleId="55">
    <w:name w:val="xl86"/>
    <w:basedOn w:val="1"/>
    <w:qFormat/>
    <w:uiPriority w:val="0"/>
    <w:pPr>
      <w:widowControl/>
      <w:pBdr>
        <w:bottom w:val="single" w:color="000000" w:sz="8"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56">
    <w:name w:val="xl65"/>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57">
    <w:name w:val="xl38"/>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Arial Unicode MS" w:eastAsia="仿宋_GB2312"/>
      <w:kern w:val="0"/>
      <w:sz w:val="24"/>
    </w:rPr>
  </w:style>
  <w:style w:type="paragraph" w:customStyle="1" w:styleId="58">
    <w:name w:val="xl37"/>
    <w:basedOn w:val="1"/>
    <w:qFormat/>
    <w:uiPriority w:val="0"/>
    <w:pPr>
      <w:widowControl/>
      <w:spacing w:beforeAutospacing="1" w:afterAutospacing="1"/>
      <w:jc w:val="left"/>
      <w:textAlignment w:val="center"/>
    </w:pPr>
    <w:rPr>
      <w:rFonts w:hint="eastAsia" w:ascii="仿宋_GB2312" w:hAnsi="Arial Unicode MS" w:eastAsia="仿宋_GB2312"/>
      <w:b/>
      <w:bCs/>
      <w:kern w:val="0"/>
      <w:sz w:val="40"/>
      <w:szCs w:val="40"/>
    </w:rPr>
  </w:style>
  <w:style w:type="paragraph" w:customStyle="1" w:styleId="59">
    <w:name w:val="font6"/>
    <w:basedOn w:val="1"/>
    <w:qFormat/>
    <w:uiPriority w:val="0"/>
    <w:pPr>
      <w:widowControl/>
      <w:spacing w:beforeAutospacing="1" w:afterAutospacing="1"/>
      <w:jc w:val="left"/>
    </w:pPr>
    <w:rPr>
      <w:rFonts w:hint="eastAsia" w:ascii="宋体" w:hAnsi="宋体" w:cs="黑体"/>
      <w:kern w:val="0"/>
      <w:sz w:val="40"/>
      <w:szCs w:val="40"/>
    </w:rPr>
  </w:style>
  <w:style w:type="paragraph" w:customStyle="1" w:styleId="60">
    <w:name w:val="CM91"/>
    <w:basedOn w:val="1"/>
    <w:next w:val="1"/>
    <w:qFormat/>
    <w:uiPriority w:val="0"/>
    <w:pPr>
      <w:autoSpaceDE w:val="0"/>
      <w:autoSpaceDN w:val="0"/>
      <w:adjustRightInd w:val="0"/>
      <w:jc w:val="left"/>
    </w:pPr>
    <w:rPr>
      <w:rFonts w:ascii="宋体" w:cs="宋体"/>
      <w:kern w:val="0"/>
      <w:sz w:val="24"/>
    </w:rPr>
  </w:style>
  <w:style w:type="paragraph" w:customStyle="1" w:styleId="61">
    <w:name w:val="xl73"/>
    <w:basedOn w:val="1"/>
    <w:qFormat/>
    <w:uiPriority w:val="0"/>
    <w:pPr>
      <w:widowControl/>
      <w:spacing w:beforeAutospacing="1" w:afterAutospacing="1"/>
      <w:jc w:val="right"/>
    </w:pPr>
    <w:rPr>
      <w:rFonts w:ascii="宋体" w:hAnsi="宋体" w:cs="宋体"/>
      <w:kern w:val="0"/>
      <w:sz w:val="24"/>
    </w:rPr>
  </w:style>
  <w:style w:type="paragraph" w:customStyle="1" w:styleId="62">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63">
    <w:name w:val="xl32"/>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pPr>
    <w:rPr>
      <w:rFonts w:hint="eastAsia" w:ascii="仿宋_GB2312" w:hAnsi="Arial Unicode MS" w:eastAsia="仿宋_GB2312"/>
      <w:kern w:val="0"/>
      <w:sz w:val="24"/>
    </w:rPr>
  </w:style>
  <w:style w:type="paragraph" w:customStyle="1" w:styleId="64">
    <w:name w:val="默认段落字体 Para Char"/>
    <w:basedOn w:val="1"/>
    <w:qFormat/>
    <w:uiPriority w:val="0"/>
    <w:rPr>
      <w:sz w:val="30"/>
    </w:rPr>
  </w:style>
  <w:style w:type="paragraph" w:customStyle="1" w:styleId="65">
    <w:name w:val="xl39"/>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Arial Unicode MS" w:eastAsia="仿宋_GB2312"/>
      <w:kern w:val="0"/>
      <w:sz w:val="24"/>
    </w:rPr>
  </w:style>
  <w:style w:type="paragraph" w:customStyle="1" w:styleId="66">
    <w:name w:val="xl26"/>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hint="eastAsia" w:ascii="仿宋_GB2312" w:hAnsi="Arial Unicode MS" w:eastAsia="仿宋_GB2312"/>
      <w:kern w:val="0"/>
      <w:sz w:val="24"/>
    </w:rPr>
  </w:style>
  <w:style w:type="paragraph" w:customStyle="1" w:styleId="67">
    <w:name w:val="xl2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Arial Unicode MS" w:eastAsia="仿宋_GB2312"/>
      <w:kern w:val="0"/>
      <w:sz w:val="24"/>
    </w:rPr>
  </w:style>
  <w:style w:type="paragraph" w:customStyle="1" w:styleId="68">
    <w:name w:val="xl81"/>
    <w:basedOn w:val="1"/>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69">
    <w:name w:val="xl35"/>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pPr>
    <w:rPr>
      <w:rFonts w:hint="eastAsia" w:ascii="仿宋_GB2312" w:hAnsi="Arial Unicode MS" w:eastAsia="仿宋_GB2312"/>
      <w:kern w:val="0"/>
      <w:sz w:val="24"/>
    </w:rPr>
  </w:style>
  <w:style w:type="paragraph" w:customStyle="1" w:styleId="70">
    <w:name w:val="xl82"/>
    <w:basedOn w:val="1"/>
    <w:qFormat/>
    <w:uiPriority w:val="0"/>
    <w:pPr>
      <w:widowControl/>
      <w:shd w:val="clear" w:color="FFFFFF" w:fill="FFFFFF"/>
      <w:spacing w:beforeAutospacing="1" w:afterAutospacing="1"/>
      <w:jc w:val="left"/>
    </w:pPr>
    <w:rPr>
      <w:rFonts w:ascii="宋体" w:hAnsi="宋体" w:cs="宋体"/>
      <w:color w:val="000000"/>
      <w:kern w:val="0"/>
      <w:sz w:val="24"/>
    </w:rPr>
  </w:style>
  <w:style w:type="paragraph" w:customStyle="1" w:styleId="71">
    <w:name w:val="xl25"/>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hint="eastAsia" w:ascii="仿宋_GB2312" w:hAnsi="Arial Unicode MS" w:eastAsia="仿宋_GB2312"/>
      <w:kern w:val="0"/>
      <w:sz w:val="24"/>
    </w:rPr>
  </w:style>
  <w:style w:type="paragraph" w:customStyle="1" w:styleId="72">
    <w:name w:val="xl66"/>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73">
    <w:name w:val="xl85"/>
    <w:basedOn w:val="1"/>
    <w:qFormat/>
    <w:uiPriority w:val="0"/>
    <w:pPr>
      <w:widowControl/>
      <w:pBdr>
        <w:bottom w:val="single" w:color="000000" w:sz="8" w:space="0"/>
      </w:pBdr>
      <w:shd w:val="clear" w:color="FFFFFF" w:fill="FFFFFF"/>
      <w:spacing w:beforeAutospacing="1" w:afterAutospacing="1"/>
      <w:jc w:val="left"/>
      <w:textAlignment w:val="center"/>
    </w:pPr>
    <w:rPr>
      <w:rFonts w:ascii="宋体" w:hAnsi="宋体" w:cs="宋体"/>
      <w:color w:val="000000"/>
      <w:kern w:val="0"/>
      <w:sz w:val="24"/>
    </w:rPr>
  </w:style>
  <w:style w:type="paragraph" w:customStyle="1" w:styleId="74">
    <w:name w:val="xl31"/>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hint="eastAsia" w:ascii="仿宋_GB2312" w:hAnsi="Arial Unicode MS" w:eastAsia="仿宋_GB2312"/>
      <w:kern w:val="0"/>
      <w:sz w:val="24"/>
    </w:rPr>
  </w:style>
  <w:style w:type="paragraph" w:customStyle="1" w:styleId="75">
    <w:name w:val="xl78"/>
    <w:basedOn w:val="1"/>
    <w:qFormat/>
    <w:uiPriority w:val="0"/>
    <w:pPr>
      <w:widowControl/>
      <w:spacing w:beforeAutospacing="1" w:afterAutospacing="1"/>
      <w:jc w:val="center"/>
    </w:pPr>
    <w:rPr>
      <w:rFonts w:ascii="宋体" w:hAnsi="宋体" w:cs="宋体"/>
      <w:b/>
      <w:bCs/>
      <w:kern w:val="0"/>
      <w:sz w:val="36"/>
      <w:szCs w:val="36"/>
    </w:rPr>
  </w:style>
  <w:style w:type="paragraph" w:customStyle="1" w:styleId="76">
    <w:name w:val="xl76"/>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ascii="宋体" w:hAnsi="宋体" w:cs="宋体"/>
      <w:kern w:val="0"/>
      <w:sz w:val="18"/>
      <w:szCs w:val="18"/>
    </w:rPr>
  </w:style>
  <w:style w:type="paragraph" w:customStyle="1" w:styleId="77">
    <w:name w:val="列表编号 2A"/>
    <w:basedOn w:val="1"/>
    <w:link w:val="87"/>
    <w:qFormat/>
    <w:uiPriority w:val="0"/>
    <w:pPr>
      <w:tabs>
        <w:tab w:val="left" w:pos="845"/>
      </w:tabs>
    </w:pPr>
    <w:rPr>
      <w:sz w:val="28"/>
      <w:szCs w:val="20"/>
    </w:rPr>
  </w:style>
  <w:style w:type="paragraph" w:customStyle="1" w:styleId="78">
    <w:name w:val="xl71"/>
    <w:basedOn w:val="1"/>
    <w:qFormat/>
    <w:uiPriority w:val="0"/>
    <w:pPr>
      <w:widowControl/>
      <w:spacing w:beforeAutospacing="1" w:afterAutospacing="1"/>
      <w:jc w:val="left"/>
      <w:textAlignment w:val="bottom"/>
    </w:pPr>
    <w:rPr>
      <w:rFonts w:ascii="宋体" w:hAnsi="宋体" w:cs="宋体"/>
      <w:kern w:val="0"/>
      <w:sz w:val="24"/>
    </w:rPr>
  </w:style>
  <w:style w:type="paragraph" w:customStyle="1" w:styleId="79">
    <w:name w:val="xl69"/>
    <w:basedOn w:val="1"/>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Autospacing="1" w:afterAutospacing="1"/>
      <w:jc w:val="center"/>
      <w:textAlignment w:val="center"/>
    </w:pPr>
    <w:rPr>
      <w:rFonts w:ascii="宋体" w:hAnsi="宋体" w:cs="宋体"/>
      <w:color w:val="000000"/>
      <w:kern w:val="0"/>
      <w:sz w:val="24"/>
    </w:rPr>
  </w:style>
  <w:style w:type="paragraph" w:customStyle="1" w:styleId="80">
    <w:name w:val="xl42"/>
    <w:basedOn w:val="1"/>
    <w:qFormat/>
    <w:uiPriority w:val="0"/>
    <w:pPr>
      <w:widowControl/>
      <w:shd w:val="clear" w:color="FFFFFF" w:fill="FFFFFF"/>
      <w:spacing w:beforeAutospacing="1" w:afterAutospacing="1"/>
      <w:jc w:val="right"/>
      <w:textAlignment w:val="center"/>
    </w:pPr>
    <w:rPr>
      <w:rFonts w:ascii="宋体" w:hAnsi="宋体" w:cs="宋体"/>
      <w:color w:val="000000"/>
      <w:kern w:val="0"/>
      <w:sz w:val="24"/>
    </w:rPr>
  </w:style>
  <w:style w:type="paragraph" w:customStyle="1" w:styleId="81">
    <w:name w:val="xl33"/>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right"/>
    </w:pPr>
    <w:rPr>
      <w:rFonts w:hint="eastAsia" w:ascii="仿宋_GB2312" w:hAnsi="Arial Unicode MS" w:eastAsia="仿宋_GB2312"/>
      <w:kern w:val="0"/>
      <w:sz w:val="24"/>
    </w:rPr>
  </w:style>
  <w:style w:type="paragraph" w:customStyle="1" w:styleId="82">
    <w:name w:val="xl36"/>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hint="eastAsia" w:ascii="仿宋_GB2312" w:hAnsi="Arial Unicode MS" w:eastAsia="仿宋_GB2312"/>
      <w:kern w:val="0"/>
      <w:sz w:val="24"/>
    </w:rPr>
  </w:style>
  <w:style w:type="paragraph" w:customStyle="1" w:styleId="83">
    <w:name w:val="xl27"/>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left"/>
    </w:pPr>
    <w:rPr>
      <w:rFonts w:hint="eastAsia" w:ascii="仿宋_GB2312" w:hAnsi="Arial Unicode MS" w:eastAsia="仿宋_GB2312"/>
      <w:kern w:val="0"/>
      <w:sz w:val="24"/>
    </w:rPr>
  </w:style>
  <w:style w:type="paragraph" w:customStyle="1" w:styleId="84">
    <w:name w:val="xl74"/>
    <w:basedOn w:val="1"/>
    <w:qFormat/>
    <w:uiPriority w:val="0"/>
    <w:pPr>
      <w:widowControl/>
      <w:pBdr>
        <w:top w:val="single" w:color="auto" w:sz="4" w:space="0"/>
        <w:left w:val="single" w:color="auto" w:sz="4" w:space="0"/>
        <w:bottom w:val="single" w:color="auto" w:sz="4" w:space="0"/>
        <w:right w:val="single" w:color="auto" w:sz="4" w:space="0"/>
      </w:pBdr>
      <w:spacing w:beforeAutospacing="1" w:afterAutospacing="1"/>
      <w:jc w:val="center"/>
    </w:pPr>
    <w:rPr>
      <w:rFonts w:ascii="宋体" w:hAnsi="宋体" w:cs="宋体"/>
      <w:kern w:val="0"/>
      <w:sz w:val="18"/>
      <w:szCs w:val="18"/>
    </w:rPr>
  </w:style>
  <w:style w:type="character" w:customStyle="1" w:styleId="85">
    <w:name w:val="正文首行缩进 Char"/>
    <w:link w:val="24"/>
    <w:qFormat/>
    <w:uiPriority w:val="0"/>
    <w:rPr>
      <w:kern w:val="2"/>
      <w:sz w:val="21"/>
      <w:szCs w:val="24"/>
    </w:rPr>
  </w:style>
  <w:style w:type="character" w:customStyle="1" w:styleId="86">
    <w:name w:val="font21"/>
    <w:basedOn w:val="27"/>
    <w:qFormat/>
    <w:uiPriority w:val="0"/>
    <w:rPr>
      <w:rFonts w:hint="eastAsia" w:ascii="宋体" w:hAnsi="宋体" w:eastAsia="宋体" w:cs="宋体"/>
      <w:color w:val="000000"/>
      <w:sz w:val="18"/>
      <w:szCs w:val="18"/>
      <w:u w:val="none"/>
    </w:rPr>
  </w:style>
  <w:style w:type="character" w:customStyle="1" w:styleId="87">
    <w:name w:val="列表编号 2A Char Char"/>
    <w:link w:val="77"/>
    <w:qFormat/>
    <w:uiPriority w:val="0"/>
    <w:rPr>
      <w:kern w:val="2"/>
      <w:sz w:val="28"/>
    </w:rPr>
  </w:style>
  <w:style w:type="character" w:customStyle="1" w:styleId="88">
    <w:name w:val="页脚 Char"/>
    <w:link w:val="19"/>
    <w:qFormat/>
    <w:uiPriority w:val="0"/>
    <w:rPr>
      <w:rFonts w:eastAsia="宋体"/>
      <w:kern w:val="2"/>
      <w:sz w:val="18"/>
      <w:szCs w:val="18"/>
      <w:lang w:val="en-US" w:eastAsia="zh-CN" w:bidi="ar-SA"/>
    </w:rPr>
  </w:style>
  <w:style w:type="character" w:customStyle="1" w:styleId="89">
    <w:name w:val="fontstyle01"/>
    <w:qFormat/>
    <w:uiPriority w:val="0"/>
    <w:rPr>
      <w:rFonts w:hint="eastAsia" w:ascii="宋体" w:hAnsi="宋体" w:eastAsia="宋体"/>
      <w:color w:val="000000"/>
      <w:sz w:val="24"/>
      <w:szCs w:val="24"/>
    </w:rPr>
  </w:style>
  <w:style w:type="paragraph" w:customStyle="1" w:styleId="90">
    <w:name w:val="Table Text"/>
    <w:basedOn w:val="1"/>
    <w:semiHidden/>
    <w:qFormat/>
    <w:uiPriority w:val="0"/>
    <w:rPr>
      <w:rFonts w:ascii="宋体" w:hAnsi="宋体" w:eastAsia="宋体" w:cs="宋体"/>
      <w:sz w:val="25"/>
      <w:szCs w:val="25"/>
      <w:lang w:val="en-US" w:eastAsia="en-US" w:bidi="ar-SA"/>
    </w:rPr>
  </w:style>
  <w:style w:type="table" w:customStyle="1" w:styleId="9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gzbyiac</Company>
  <Pages>3</Pages>
  <Words>1643</Words>
  <Characters>1842</Characters>
  <Lines>118</Lines>
  <Paragraphs>33</Paragraphs>
  <TotalTime>89</TotalTime>
  <ScaleCrop>false</ScaleCrop>
  <LinksUpToDate>false</LinksUpToDate>
  <CharactersWithSpaces>1847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2022-10-02T05:52:00Z</dcterms:created>
  <dc:creator>luozhiping</dc:creator>
  <cp:lastModifiedBy>潮汐、唯美似水</cp:lastModifiedBy>
  <cp:lastPrinted>2025-10-17T08:51:00Z</cp:lastPrinted>
  <dcterms:modified xsi:type="dcterms:W3CDTF">2026-04-11T03:27:00Z</dcterms:modified>
  <dc:title>广州白云国际机场迁建工程飞行区土石方</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E0501717D212466DBD1568AF7FD732B0</vt:lpwstr>
  </property>
  <property fmtid="{D5CDD505-2E9C-101B-9397-08002B2CF9AE}" pid="4" name="KSOTemplateDocerSaveRecord">
    <vt:lpwstr>eyJoZGlkIjoiMTM4Y2JmNjBlY2NkNTI1M2ZiMTQ5ODMyNTEyMzM3MjMiLCJ1c2VySWQiOiIzNDMwNzQ4MTcifQ==</vt:lpwstr>
  </property>
</Properties>
</file>